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E5" w:rsidRPr="009B4D64" w:rsidRDefault="00E824E5" w:rsidP="00E824E5">
      <w:pPr>
        <w:jc w:val="center"/>
        <w:rPr>
          <w:b/>
          <w:bCs/>
          <w:sz w:val="28"/>
          <w:szCs w:val="28"/>
        </w:rPr>
      </w:pPr>
      <w:bookmarkStart w:id="0" w:name="_GoBack"/>
      <w:bookmarkEnd w:id="0"/>
      <w:r w:rsidRPr="009B4D64">
        <w:rPr>
          <w:b/>
          <w:bCs/>
          <w:sz w:val="28"/>
          <w:szCs w:val="28"/>
        </w:rPr>
        <w:t>APPENDIX FOR T</w:t>
      </w:r>
      <w:r w:rsidR="002378AC" w:rsidRPr="009B4D64">
        <w:rPr>
          <w:b/>
          <w:bCs/>
          <w:sz w:val="28"/>
          <w:szCs w:val="28"/>
        </w:rPr>
        <w:t>HE METROPOLITAN LONG RANGE PLAN</w:t>
      </w:r>
    </w:p>
    <w:p w:rsidR="00E824E5" w:rsidRPr="00170340" w:rsidRDefault="008B58B3" w:rsidP="00E824E5">
      <w:pPr>
        <w:jc w:val="center"/>
        <w:rPr>
          <w:sz w:val="24"/>
        </w:rPr>
      </w:pPr>
      <w:r>
        <w:rPr>
          <w:b/>
          <w:bCs/>
          <w:sz w:val="24"/>
        </w:rPr>
        <w:t>2040</w:t>
      </w:r>
      <w:r w:rsidRPr="00170340">
        <w:rPr>
          <w:b/>
          <w:bCs/>
          <w:sz w:val="24"/>
        </w:rPr>
        <w:t xml:space="preserve"> </w:t>
      </w:r>
      <w:r w:rsidR="00A02253" w:rsidRPr="00170340">
        <w:rPr>
          <w:b/>
          <w:bCs/>
          <w:sz w:val="24"/>
        </w:rPr>
        <w:t>Forecast of State a</w:t>
      </w:r>
      <w:r w:rsidR="009C276C" w:rsidRPr="00170340">
        <w:rPr>
          <w:b/>
          <w:bCs/>
          <w:sz w:val="24"/>
        </w:rPr>
        <w:t>nd Federal Revenues</w:t>
      </w:r>
      <w:r w:rsidR="00170340">
        <w:rPr>
          <w:b/>
          <w:bCs/>
          <w:sz w:val="24"/>
        </w:rPr>
        <w:t xml:space="preserve"> </w:t>
      </w:r>
      <w:r w:rsidR="00A02253" w:rsidRPr="00170340">
        <w:rPr>
          <w:b/>
          <w:bCs/>
          <w:sz w:val="24"/>
        </w:rPr>
        <w:t>for Statewide a</w:t>
      </w:r>
      <w:r w:rsidR="009C276C" w:rsidRPr="00170340">
        <w:rPr>
          <w:b/>
          <w:bCs/>
          <w:sz w:val="24"/>
        </w:rPr>
        <w:t>nd Metropolitan Plans</w:t>
      </w:r>
    </w:p>
    <w:p w:rsidR="00590117" w:rsidRPr="009B4D64" w:rsidRDefault="00590117" w:rsidP="002378AC">
      <w:pPr>
        <w:rPr>
          <w:sz w:val="24"/>
        </w:rPr>
      </w:pPr>
    </w:p>
    <w:p w:rsidR="00E824E5" w:rsidRPr="009B4D64" w:rsidRDefault="00E824E5" w:rsidP="002378AC">
      <w:pPr>
        <w:rPr>
          <w:b/>
          <w:bCs/>
          <w:sz w:val="24"/>
        </w:rPr>
      </w:pPr>
      <w:r w:rsidRPr="009B4D64">
        <w:rPr>
          <w:b/>
          <w:bCs/>
          <w:sz w:val="24"/>
        </w:rPr>
        <w:t>Overview</w:t>
      </w:r>
      <w:r w:rsidR="00170340">
        <w:rPr>
          <w:b/>
          <w:bCs/>
          <w:sz w:val="24"/>
        </w:rPr>
        <w:t xml:space="preserve"> </w:t>
      </w:r>
    </w:p>
    <w:p w:rsidR="00E824E5" w:rsidRPr="009B4D64" w:rsidRDefault="00E824E5" w:rsidP="002378AC">
      <w:pPr>
        <w:rPr>
          <w:sz w:val="24"/>
        </w:rPr>
      </w:pPr>
      <w:r w:rsidRPr="009B4D64">
        <w:rPr>
          <w:sz w:val="24"/>
        </w:rPr>
        <w:t xml:space="preserve">This appendix documents the Florida Department of Transportation (FDOT) </w:t>
      </w:r>
      <w:r w:rsidR="009C276C" w:rsidRPr="009B4D64">
        <w:rPr>
          <w:sz w:val="24"/>
        </w:rPr>
        <w:t xml:space="preserve">revenue forecast through </w:t>
      </w:r>
      <w:r w:rsidR="00C935C0">
        <w:rPr>
          <w:sz w:val="24"/>
        </w:rPr>
        <w:t>2040</w:t>
      </w:r>
      <w:r w:rsidRPr="009B4D64">
        <w:rPr>
          <w:sz w:val="24"/>
        </w:rPr>
        <w:t xml:space="preserve">.  </w:t>
      </w:r>
      <w:r w:rsidR="00865492">
        <w:rPr>
          <w:sz w:val="24"/>
        </w:rPr>
        <w:t>E</w:t>
      </w:r>
      <w:r w:rsidRPr="009B4D64">
        <w:rPr>
          <w:sz w:val="24"/>
        </w:rPr>
        <w:t xml:space="preserve">stimates for major state programs for this metropolitan area and Florida are included. The forecast </w:t>
      </w:r>
      <w:r w:rsidR="00CA50B2">
        <w:rPr>
          <w:sz w:val="24"/>
        </w:rPr>
        <w:t>encompasses state and federal funds that “flow through” the FDOT work program</w:t>
      </w:r>
      <w:r w:rsidRPr="009B4D64">
        <w:rPr>
          <w:sz w:val="24"/>
        </w:rPr>
        <w:t xml:space="preserve">.  This information </w:t>
      </w:r>
      <w:r w:rsidR="00B1781D">
        <w:rPr>
          <w:sz w:val="24"/>
        </w:rPr>
        <w:t>is</w:t>
      </w:r>
      <w:r w:rsidRPr="009B4D64">
        <w:rPr>
          <w:sz w:val="24"/>
        </w:rPr>
        <w:t xml:space="preserve"> used for updates of metropolitan long range transportation plans</w:t>
      </w:r>
      <w:r w:rsidR="009C276C" w:rsidRPr="009B4D64">
        <w:rPr>
          <w:sz w:val="24"/>
        </w:rPr>
        <w:t>, the Florida Transportation Plan</w:t>
      </w:r>
      <w:r w:rsidRPr="009B4D64">
        <w:rPr>
          <w:sz w:val="24"/>
        </w:rPr>
        <w:t xml:space="preserve"> and the Strategic Intermodal System </w:t>
      </w:r>
      <w:r w:rsidR="00AA0498" w:rsidRPr="009B4D64">
        <w:rPr>
          <w:sz w:val="24"/>
        </w:rPr>
        <w:t xml:space="preserve">(SIS) </w:t>
      </w:r>
      <w:r w:rsidRPr="009B4D64">
        <w:rPr>
          <w:sz w:val="24"/>
        </w:rPr>
        <w:t>Cost Feasible Plan.</w:t>
      </w:r>
    </w:p>
    <w:p w:rsidR="00E824E5" w:rsidRPr="009B4D64" w:rsidRDefault="00E824E5" w:rsidP="002378AC">
      <w:pPr>
        <w:rPr>
          <w:sz w:val="24"/>
        </w:rPr>
      </w:pPr>
    </w:p>
    <w:p w:rsidR="00E824E5" w:rsidRPr="009B4D64" w:rsidRDefault="00E824E5" w:rsidP="002378AC">
      <w:pPr>
        <w:rPr>
          <w:sz w:val="24"/>
        </w:rPr>
      </w:pPr>
      <w:r w:rsidRPr="009B4D64">
        <w:rPr>
          <w:sz w:val="24"/>
          <w:u w:val="single"/>
        </w:rPr>
        <w:t>Background</w:t>
      </w:r>
      <w:r w:rsidRPr="009B4D64">
        <w:rPr>
          <w:sz w:val="24"/>
        </w:rPr>
        <w:t xml:space="preserve">  </w:t>
      </w:r>
    </w:p>
    <w:p w:rsidR="00E824E5" w:rsidRPr="009B4D64" w:rsidRDefault="00C935C0" w:rsidP="002378AC">
      <w:pPr>
        <w:rPr>
          <w:sz w:val="24"/>
        </w:rPr>
      </w:pPr>
      <w:r>
        <w:rPr>
          <w:sz w:val="24"/>
        </w:rPr>
        <w:t>Evolving state and federal legislation, FDOT policies, and leadership by the Metropolitan Planning Organization Advisory Council</w:t>
      </w:r>
      <w:r w:rsidR="00E824E5" w:rsidRPr="009B4D64">
        <w:rPr>
          <w:sz w:val="24"/>
        </w:rPr>
        <w:t xml:space="preserve"> </w:t>
      </w:r>
      <w:r w:rsidR="008C306B" w:rsidRPr="009B4D64">
        <w:rPr>
          <w:sz w:val="24"/>
        </w:rPr>
        <w:t xml:space="preserve">have </w:t>
      </w:r>
      <w:r w:rsidR="00E824E5" w:rsidRPr="009B4D64">
        <w:rPr>
          <w:sz w:val="24"/>
        </w:rPr>
        <w:t>provided the impetus to enhance the cooperative relationship between FDOT and metropolitan planning organizations (MPOs) in planning for and providing transportation fa</w:t>
      </w:r>
      <w:r w:rsidR="00AA0498" w:rsidRPr="009B4D64">
        <w:rPr>
          <w:sz w:val="24"/>
        </w:rPr>
        <w:t xml:space="preserve">cilities and services.  The </w:t>
      </w:r>
      <w:r w:rsidR="00E824E5" w:rsidRPr="009B4D64">
        <w:rPr>
          <w:sz w:val="24"/>
        </w:rPr>
        <w:t xml:space="preserve">Florida Transportation Plan (FTP), </w:t>
      </w:r>
      <w:r w:rsidR="00AA0498" w:rsidRPr="009B4D64">
        <w:rPr>
          <w:sz w:val="24"/>
        </w:rPr>
        <w:t>developed</w:t>
      </w:r>
      <w:r w:rsidR="00E824E5" w:rsidRPr="009B4D64">
        <w:rPr>
          <w:sz w:val="24"/>
        </w:rPr>
        <w:t xml:space="preserve"> with the assistance of Florida’s 26 MPOs and other transportation partners, established long range goals and program emphases for the expenditure of state and federal funds expected from current revenue sources.  </w:t>
      </w:r>
    </w:p>
    <w:p w:rsidR="00C935C0" w:rsidRDefault="00C935C0" w:rsidP="002378AC">
      <w:pPr>
        <w:rPr>
          <w:sz w:val="24"/>
        </w:rPr>
      </w:pPr>
    </w:p>
    <w:p w:rsidR="00E824E5" w:rsidRPr="009B4D64" w:rsidRDefault="00126940" w:rsidP="002378AC">
      <w:pPr>
        <w:rPr>
          <w:sz w:val="24"/>
        </w:rPr>
      </w:pPr>
      <w:r w:rsidRPr="009B4D64">
        <w:rPr>
          <w:sz w:val="24"/>
        </w:rPr>
        <w:t>The</w:t>
      </w:r>
      <w:r w:rsidR="00E824E5" w:rsidRPr="009B4D64">
        <w:rPr>
          <w:sz w:val="24"/>
        </w:rPr>
        <w:t xml:space="preserve"> Department developed a long range revenue forecast </w:t>
      </w:r>
      <w:r w:rsidR="009C276C" w:rsidRPr="009B4D64">
        <w:rPr>
          <w:sz w:val="24"/>
        </w:rPr>
        <w:t xml:space="preserve">through </w:t>
      </w:r>
      <w:r w:rsidR="00CA50B2">
        <w:rPr>
          <w:sz w:val="24"/>
        </w:rPr>
        <w:t>2040</w:t>
      </w:r>
      <w:r w:rsidR="00E824E5" w:rsidRPr="009B4D64">
        <w:rPr>
          <w:sz w:val="24"/>
        </w:rPr>
        <w:t xml:space="preserve">.  The forecast was based upon recent legislation (e.g., </w:t>
      </w:r>
      <w:r w:rsidR="00CA50B2">
        <w:rPr>
          <w:sz w:val="24"/>
        </w:rPr>
        <w:t>MAP-21</w:t>
      </w:r>
      <w:r w:rsidR="008818A1">
        <w:rPr>
          <w:rStyle w:val="FootnoteReference"/>
        </w:rPr>
        <w:footnoteReference w:id="1"/>
      </w:r>
      <w:r w:rsidR="00E824E5" w:rsidRPr="009B4D64">
        <w:rPr>
          <w:sz w:val="24"/>
        </w:rPr>
        <w:t xml:space="preserve">), changes in factors affecting state revenue sources (e.g., population growth rates) and current policies. This </w:t>
      </w:r>
      <w:r w:rsidR="00CA50B2">
        <w:rPr>
          <w:sz w:val="24"/>
        </w:rPr>
        <w:t>2040</w:t>
      </w:r>
      <w:r w:rsidR="00CA50B2" w:rsidRPr="009B4D64">
        <w:rPr>
          <w:sz w:val="24"/>
        </w:rPr>
        <w:t xml:space="preserve"> </w:t>
      </w:r>
      <w:r w:rsidR="00E824E5" w:rsidRPr="009B4D64">
        <w:rPr>
          <w:sz w:val="24"/>
        </w:rPr>
        <w:t xml:space="preserve">forecast </w:t>
      </w:r>
      <w:r w:rsidR="00AA0498" w:rsidRPr="009B4D64">
        <w:rPr>
          <w:sz w:val="24"/>
        </w:rPr>
        <w:t>incorporates</w:t>
      </w:r>
      <w:r w:rsidR="00E824E5" w:rsidRPr="009B4D64">
        <w:rPr>
          <w:sz w:val="24"/>
        </w:rPr>
        <w:t xml:space="preserve"> (1) amounts contained in the Department’s Work Program</w:t>
      </w:r>
      <w:r w:rsidR="00053658" w:rsidRPr="009B4D64">
        <w:rPr>
          <w:sz w:val="24"/>
        </w:rPr>
        <w:t xml:space="preserve"> for 20</w:t>
      </w:r>
      <w:r w:rsidR="00CA50B2">
        <w:rPr>
          <w:sz w:val="24"/>
        </w:rPr>
        <w:t>14</w:t>
      </w:r>
      <w:r w:rsidR="00053658" w:rsidRPr="009B4D64">
        <w:rPr>
          <w:sz w:val="24"/>
        </w:rPr>
        <w:t xml:space="preserve"> through 20</w:t>
      </w:r>
      <w:r w:rsidR="00CA50B2">
        <w:rPr>
          <w:sz w:val="24"/>
        </w:rPr>
        <w:t>18</w:t>
      </w:r>
      <w:r w:rsidR="00E824E5" w:rsidRPr="009B4D64">
        <w:rPr>
          <w:sz w:val="24"/>
        </w:rPr>
        <w:t xml:space="preserve">, (2) the impact of the Department’s </w:t>
      </w:r>
      <w:r w:rsidR="00AA0498" w:rsidRPr="009B4D64">
        <w:rPr>
          <w:sz w:val="24"/>
        </w:rPr>
        <w:t>objectives and investment policies</w:t>
      </w:r>
      <w:r w:rsidR="00E824E5" w:rsidRPr="009B4D64">
        <w:rPr>
          <w:sz w:val="24"/>
        </w:rPr>
        <w:t xml:space="preserve">, </w:t>
      </w:r>
      <w:r w:rsidR="000D444B" w:rsidRPr="009B4D64">
        <w:rPr>
          <w:sz w:val="24"/>
        </w:rPr>
        <w:t>and</w:t>
      </w:r>
      <w:r w:rsidR="00170340">
        <w:rPr>
          <w:sz w:val="24"/>
        </w:rPr>
        <w:t xml:space="preserve"> </w:t>
      </w:r>
      <w:r w:rsidR="00E824E5" w:rsidRPr="009B4D64">
        <w:rPr>
          <w:sz w:val="24"/>
        </w:rPr>
        <w:t xml:space="preserve">(3) the </w:t>
      </w:r>
      <w:r w:rsidR="00AA0498" w:rsidRPr="009B4D64">
        <w:rPr>
          <w:sz w:val="24"/>
        </w:rPr>
        <w:t xml:space="preserve">current </w:t>
      </w:r>
      <w:r w:rsidR="00E824E5" w:rsidRPr="009B4D64">
        <w:rPr>
          <w:sz w:val="24"/>
        </w:rPr>
        <w:t xml:space="preserve">Statutory Formula (equal parts of population and motor fuel tax collections) </w:t>
      </w:r>
      <w:r w:rsidR="00AA0498" w:rsidRPr="009B4D64">
        <w:rPr>
          <w:sz w:val="24"/>
        </w:rPr>
        <w:t>for distribution of certain program funds</w:t>
      </w:r>
      <w:r w:rsidR="00405FD2">
        <w:rPr>
          <w:sz w:val="24"/>
        </w:rPr>
        <w:t>.</w:t>
      </w:r>
      <w:r w:rsidR="00AA0498" w:rsidRPr="009B4D64">
        <w:rPr>
          <w:sz w:val="24"/>
        </w:rPr>
        <w:t xml:space="preserve"> </w:t>
      </w:r>
      <w:r w:rsidR="00405FD2">
        <w:rPr>
          <w:sz w:val="24"/>
        </w:rPr>
        <w:t>A</w:t>
      </w:r>
      <w:r w:rsidR="00CA50B2">
        <w:rPr>
          <w:sz w:val="24"/>
        </w:rPr>
        <w:t>ll</w:t>
      </w:r>
      <w:r w:rsidR="00CA50B2" w:rsidRPr="009B4D64">
        <w:rPr>
          <w:sz w:val="24"/>
        </w:rPr>
        <w:t xml:space="preserve"> </w:t>
      </w:r>
      <w:r w:rsidR="00AA0498" w:rsidRPr="009B4D64">
        <w:rPr>
          <w:sz w:val="24"/>
        </w:rPr>
        <w:t xml:space="preserve">estimates </w:t>
      </w:r>
      <w:r w:rsidR="00405FD2">
        <w:rPr>
          <w:sz w:val="24"/>
        </w:rPr>
        <w:t xml:space="preserve">are expressed </w:t>
      </w:r>
      <w:r w:rsidR="00AA0498" w:rsidRPr="009B4D64">
        <w:rPr>
          <w:sz w:val="24"/>
        </w:rPr>
        <w:t>in</w:t>
      </w:r>
      <w:r w:rsidR="00E824E5" w:rsidRPr="009B4D64">
        <w:rPr>
          <w:sz w:val="24"/>
        </w:rPr>
        <w:t xml:space="preserve"> </w:t>
      </w:r>
      <w:r w:rsidR="00053658" w:rsidRPr="009B4D64">
        <w:rPr>
          <w:sz w:val="24"/>
        </w:rPr>
        <w:t>year of expenditure</w:t>
      </w:r>
      <w:r w:rsidR="00E824E5" w:rsidRPr="009B4D64">
        <w:rPr>
          <w:sz w:val="24"/>
        </w:rPr>
        <w:t xml:space="preserve"> dollars.</w:t>
      </w:r>
    </w:p>
    <w:p w:rsidR="00E824E5" w:rsidRPr="009B4D64" w:rsidRDefault="00E824E5" w:rsidP="002378AC">
      <w:pPr>
        <w:rPr>
          <w:sz w:val="24"/>
        </w:rPr>
      </w:pPr>
    </w:p>
    <w:p w:rsidR="00E824E5" w:rsidRPr="009B4D64" w:rsidRDefault="00CA50B2" w:rsidP="002378AC">
      <w:pPr>
        <w:rPr>
          <w:sz w:val="24"/>
        </w:rPr>
      </w:pPr>
      <w:r>
        <w:rPr>
          <w:sz w:val="24"/>
          <w:u w:val="single"/>
        </w:rPr>
        <w:t>Purpose</w:t>
      </w:r>
    </w:p>
    <w:p w:rsidR="00E824E5" w:rsidRPr="009B4D64" w:rsidRDefault="00E824E5" w:rsidP="002378AC">
      <w:pPr>
        <w:rPr>
          <w:sz w:val="24"/>
        </w:rPr>
      </w:pPr>
      <w:r w:rsidRPr="009B4D64">
        <w:rPr>
          <w:sz w:val="24"/>
        </w:rPr>
        <w:t>This appendix provide</w:t>
      </w:r>
      <w:r w:rsidR="00CA50B2">
        <w:rPr>
          <w:sz w:val="24"/>
        </w:rPr>
        <w:t>s</w:t>
      </w:r>
      <w:r w:rsidRPr="009B4D64">
        <w:rPr>
          <w:sz w:val="24"/>
        </w:rPr>
        <w:t xml:space="preserve"> the public </w:t>
      </w:r>
      <w:r w:rsidR="00B15701">
        <w:rPr>
          <w:sz w:val="24"/>
        </w:rPr>
        <w:t xml:space="preserve">and interested parties </w:t>
      </w:r>
      <w:r w:rsidRPr="009B4D64">
        <w:rPr>
          <w:sz w:val="24"/>
        </w:rPr>
        <w:t>with clear documentation of the state and federal financial issues related to each MPO plan and facilitate</w:t>
      </w:r>
      <w:r w:rsidR="008818A1">
        <w:rPr>
          <w:sz w:val="24"/>
        </w:rPr>
        <w:t>s</w:t>
      </w:r>
      <w:r w:rsidRPr="009B4D64">
        <w:rPr>
          <w:sz w:val="24"/>
        </w:rPr>
        <w:t xml:space="preserve"> reconciliation of statewide and metropolitan plans.  This appendix does not address financial issues related to funds that do not “flow through” the state work program.  Information on financial issues related to local and regional revenue sources – what those resources are and how the metropolitan areas plan to spend them – is contained in other documentation of the metropolitan plan.</w:t>
      </w:r>
    </w:p>
    <w:p w:rsidR="00E824E5" w:rsidRPr="009B4D64" w:rsidRDefault="00E824E5" w:rsidP="002378AC">
      <w:pPr>
        <w:rPr>
          <w:sz w:val="24"/>
        </w:rPr>
      </w:pPr>
    </w:p>
    <w:p w:rsidR="00E824E5" w:rsidRPr="009B4D64" w:rsidRDefault="000D444B" w:rsidP="002378AC">
      <w:pPr>
        <w:rPr>
          <w:sz w:val="24"/>
        </w:rPr>
      </w:pPr>
      <w:r w:rsidRPr="009B4D64">
        <w:rPr>
          <w:sz w:val="24"/>
        </w:rPr>
        <w:t>This</w:t>
      </w:r>
      <w:r w:rsidR="00E824E5" w:rsidRPr="009B4D64">
        <w:rPr>
          <w:sz w:val="24"/>
        </w:rPr>
        <w:t xml:space="preserve"> appendix describes how the </w:t>
      </w:r>
      <w:r w:rsidR="00861D89" w:rsidRPr="009B4D64">
        <w:rPr>
          <w:sz w:val="24"/>
        </w:rPr>
        <w:t xml:space="preserve">statewide </w:t>
      </w:r>
      <w:r w:rsidR="008B1CAF">
        <w:rPr>
          <w:sz w:val="24"/>
        </w:rPr>
        <w:t>2040</w:t>
      </w:r>
      <w:r w:rsidR="008B1CAF" w:rsidRPr="009B4D64">
        <w:rPr>
          <w:sz w:val="24"/>
        </w:rPr>
        <w:t xml:space="preserve"> </w:t>
      </w:r>
      <w:r w:rsidR="00E824E5" w:rsidRPr="009B4D64">
        <w:rPr>
          <w:sz w:val="24"/>
        </w:rPr>
        <w:t xml:space="preserve">Revenue Forecast was developed.  Also, metropolitan estimates are identified for </w:t>
      </w:r>
      <w:r w:rsidR="00861D89" w:rsidRPr="009B4D64">
        <w:rPr>
          <w:sz w:val="24"/>
        </w:rPr>
        <w:t xml:space="preserve">certain </w:t>
      </w:r>
      <w:r w:rsidR="00E824E5" w:rsidRPr="009B4D64">
        <w:rPr>
          <w:sz w:val="24"/>
        </w:rPr>
        <w:t xml:space="preserve">major FDOT programs that expand the capacity of existing transportation systems, </w:t>
      </w:r>
      <w:r w:rsidR="00B15701">
        <w:rPr>
          <w:sz w:val="24"/>
        </w:rPr>
        <w:t>and</w:t>
      </w:r>
      <w:r w:rsidR="00E824E5" w:rsidRPr="009B4D64">
        <w:rPr>
          <w:sz w:val="24"/>
        </w:rPr>
        <w:t xml:space="preserve"> are referred to as “capacity programs</w:t>
      </w:r>
      <w:r w:rsidR="00B15701">
        <w:rPr>
          <w:sz w:val="24"/>
        </w:rPr>
        <w:t>.</w:t>
      </w:r>
      <w:r w:rsidR="00E824E5" w:rsidRPr="009B4D64">
        <w:rPr>
          <w:sz w:val="24"/>
        </w:rPr>
        <w:t xml:space="preserve">” </w:t>
      </w:r>
      <w:r w:rsidR="00B15701">
        <w:rPr>
          <w:sz w:val="24"/>
        </w:rPr>
        <w:t xml:space="preserve"> </w:t>
      </w:r>
      <w:r w:rsidR="00E824E5" w:rsidRPr="009B4D64">
        <w:rPr>
          <w:sz w:val="24"/>
        </w:rPr>
        <w:t xml:space="preserve">“Metropolitan estimates” are the </w:t>
      </w:r>
      <w:r w:rsidR="008B1CAF">
        <w:rPr>
          <w:sz w:val="24"/>
        </w:rPr>
        <w:t xml:space="preserve">estimated </w:t>
      </w:r>
      <w:r w:rsidR="00E824E5" w:rsidRPr="009B4D64">
        <w:rPr>
          <w:sz w:val="24"/>
        </w:rPr>
        <w:t xml:space="preserve">share of </w:t>
      </w:r>
      <w:r w:rsidR="008818A1">
        <w:rPr>
          <w:sz w:val="24"/>
        </w:rPr>
        <w:t xml:space="preserve">certain </w:t>
      </w:r>
      <w:r w:rsidR="00E824E5" w:rsidRPr="009B4D64">
        <w:rPr>
          <w:sz w:val="24"/>
        </w:rPr>
        <w:t xml:space="preserve">state capacity programs for this metropolitan area.  They can be used to fund planned improvements to major elements of the transportation system. </w:t>
      </w:r>
    </w:p>
    <w:p w:rsidR="00865492" w:rsidRDefault="00E824E5" w:rsidP="002378AC">
      <w:pPr>
        <w:rPr>
          <w:sz w:val="24"/>
        </w:rPr>
      </w:pPr>
      <w:r w:rsidRPr="009B4D64">
        <w:rPr>
          <w:sz w:val="24"/>
        </w:rPr>
        <w:t xml:space="preserve">This appendix also includes estimates of funds required for other FDOT programs designed to support, operate, and maintain the state transportation system.  The FDOT has set aside sufficient funds in the </w:t>
      </w:r>
      <w:r w:rsidR="008B1CAF">
        <w:rPr>
          <w:sz w:val="24"/>
        </w:rPr>
        <w:t>2040</w:t>
      </w:r>
      <w:r w:rsidR="008B1CAF" w:rsidRPr="009B4D64">
        <w:rPr>
          <w:sz w:val="24"/>
        </w:rPr>
        <w:t xml:space="preserve"> </w:t>
      </w:r>
      <w:r w:rsidRPr="009B4D64">
        <w:rPr>
          <w:sz w:val="24"/>
        </w:rPr>
        <w:t xml:space="preserve">Revenue Forecast for these programs, referred to as “non-capacity programs” in this document, to meet statewide objectives and program needs in all metropolitan and non-metropolitan areas.  Funding for these programs is not included in the metropolitan estimates. </w:t>
      </w:r>
    </w:p>
    <w:p w:rsidR="00E824E5" w:rsidRPr="009B4D64" w:rsidRDefault="00865492" w:rsidP="002378AC">
      <w:pPr>
        <w:rPr>
          <w:b/>
          <w:sz w:val="24"/>
        </w:rPr>
      </w:pPr>
      <w:r>
        <w:rPr>
          <w:sz w:val="24"/>
        </w:rPr>
        <w:br w:type="page"/>
      </w:r>
      <w:r w:rsidR="00861D89" w:rsidRPr="009B4D64">
        <w:rPr>
          <w:b/>
          <w:sz w:val="24"/>
        </w:rPr>
        <w:lastRenderedPageBreak/>
        <w:t>20</w:t>
      </w:r>
      <w:r w:rsidR="00405FD2">
        <w:rPr>
          <w:b/>
          <w:sz w:val="24"/>
        </w:rPr>
        <w:t>40</w:t>
      </w:r>
      <w:r w:rsidR="00E824E5" w:rsidRPr="009B4D64">
        <w:rPr>
          <w:b/>
          <w:sz w:val="24"/>
        </w:rPr>
        <w:t xml:space="preserve"> Revenue Forecast (State and Federal Funds)</w:t>
      </w:r>
    </w:p>
    <w:p w:rsidR="00B15701" w:rsidRDefault="00A02253" w:rsidP="002378AC">
      <w:pPr>
        <w:rPr>
          <w:sz w:val="24"/>
        </w:rPr>
      </w:pPr>
      <w:r w:rsidRPr="009B4D64">
        <w:rPr>
          <w:sz w:val="24"/>
        </w:rPr>
        <w:t xml:space="preserve">The </w:t>
      </w:r>
      <w:r w:rsidR="008B58B3">
        <w:rPr>
          <w:sz w:val="24"/>
        </w:rPr>
        <w:t>2040</w:t>
      </w:r>
      <w:r w:rsidRPr="009B4D64">
        <w:rPr>
          <w:sz w:val="24"/>
        </w:rPr>
        <w:t xml:space="preserve"> Revenue Forecast is the</w:t>
      </w:r>
      <w:r w:rsidR="00B15701">
        <w:rPr>
          <w:sz w:val="24"/>
        </w:rPr>
        <w:t xml:space="preserve"> result of a three-step process:</w:t>
      </w:r>
      <w:r w:rsidRPr="009B4D64">
        <w:rPr>
          <w:sz w:val="24"/>
        </w:rPr>
        <w:t xml:space="preserve"> </w:t>
      </w:r>
    </w:p>
    <w:p w:rsidR="00B15701" w:rsidRDefault="00C219BB" w:rsidP="00B15701">
      <w:pPr>
        <w:numPr>
          <w:ilvl w:val="0"/>
          <w:numId w:val="3"/>
        </w:numPr>
        <w:rPr>
          <w:sz w:val="24"/>
        </w:rPr>
      </w:pPr>
      <w:r w:rsidRPr="009B4D64">
        <w:rPr>
          <w:sz w:val="24"/>
        </w:rPr>
        <w:t>S</w:t>
      </w:r>
      <w:r w:rsidR="00A02253" w:rsidRPr="009B4D64">
        <w:rPr>
          <w:sz w:val="24"/>
        </w:rPr>
        <w:t>tate and federal revenues from current sources</w:t>
      </w:r>
      <w:r w:rsidRPr="009B4D64">
        <w:rPr>
          <w:sz w:val="24"/>
        </w:rPr>
        <w:t xml:space="preserve"> were estimated</w:t>
      </w:r>
      <w:r w:rsidR="00A02253" w:rsidRPr="009B4D64">
        <w:rPr>
          <w:sz w:val="24"/>
        </w:rPr>
        <w:t xml:space="preserve">. </w:t>
      </w:r>
    </w:p>
    <w:p w:rsidR="00B15701" w:rsidRDefault="00A02253" w:rsidP="00B15701">
      <w:pPr>
        <w:numPr>
          <w:ilvl w:val="0"/>
          <w:numId w:val="3"/>
        </w:numPr>
        <w:rPr>
          <w:sz w:val="24"/>
        </w:rPr>
      </w:pPr>
      <w:r w:rsidRPr="009B4D64">
        <w:rPr>
          <w:sz w:val="24"/>
        </w:rPr>
        <w:t xml:space="preserve">Those revenues were distributed among statewide </w:t>
      </w:r>
      <w:r w:rsidR="00C219BB" w:rsidRPr="009B4D64">
        <w:rPr>
          <w:sz w:val="24"/>
        </w:rPr>
        <w:t xml:space="preserve">capacity and non-capacity </w:t>
      </w:r>
      <w:r w:rsidRPr="009B4D64">
        <w:rPr>
          <w:sz w:val="24"/>
        </w:rPr>
        <w:t>program</w:t>
      </w:r>
      <w:r w:rsidR="00C219BB" w:rsidRPr="009B4D64">
        <w:rPr>
          <w:sz w:val="24"/>
        </w:rPr>
        <w:t>s</w:t>
      </w:r>
      <w:r w:rsidRPr="009B4D64">
        <w:rPr>
          <w:sz w:val="24"/>
        </w:rPr>
        <w:t xml:space="preserve"> </w:t>
      </w:r>
      <w:r w:rsidR="00865492">
        <w:rPr>
          <w:sz w:val="24"/>
        </w:rPr>
        <w:t>consistent</w:t>
      </w:r>
      <w:r w:rsidRPr="009B4D64">
        <w:rPr>
          <w:sz w:val="24"/>
        </w:rPr>
        <w:t xml:space="preserve"> with statewide priorities. </w:t>
      </w:r>
    </w:p>
    <w:p w:rsidR="00A02253" w:rsidRPr="009B4D64" w:rsidRDefault="00B15701" w:rsidP="00B15701">
      <w:pPr>
        <w:numPr>
          <w:ilvl w:val="0"/>
          <w:numId w:val="3"/>
        </w:numPr>
        <w:rPr>
          <w:sz w:val="24"/>
        </w:rPr>
      </w:pPr>
      <w:r>
        <w:rPr>
          <w:sz w:val="24"/>
        </w:rPr>
        <w:t>E</w:t>
      </w:r>
      <w:r w:rsidR="00A02253" w:rsidRPr="009B4D64">
        <w:rPr>
          <w:sz w:val="24"/>
        </w:rPr>
        <w:t xml:space="preserve">stimates for certain capacity programs </w:t>
      </w:r>
      <w:r w:rsidR="00C219BB" w:rsidRPr="009B4D64">
        <w:rPr>
          <w:sz w:val="24"/>
        </w:rPr>
        <w:t xml:space="preserve">were developed </w:t>
      </w:r>
      <w:r w:rsidR="00A02253" w:rsidRPr="009B4D64">
        <w:rPr>
          <w:sz w:val="24"/>
        </w:rPr>
        <w:t>for each of Florida’s 26 metropolitan areas.</w:t>
      </w:r>
    </w:p>
    <w:p w:rsidR="00A02253" w:rsidRPr="009B4D64" w:rsidRDefault="00A02253" w:rsidP="002378AC">
      <w:pPr>
        <w:rPr>
          <w:sz w:val="24"/>
        </w:rPr>
      </w:pPr>
    </w:p>
    <w:p w:rsidR="00A02253" w:rsidRPr="009B4D64" w:rsidRDefault="00A02253" w:rsidP="002378AC">
      <w:pPr>
        <w:rPr>
          <w:sz w:val="24"/>
          <w:u w:val="single"/>
        </w:rPr>
      </w:pPr>
      <w:r w:rsidRPr="009B4D64">
        <w:rPr>
          <w:sz w:val="24"/>
          <w:u w:val="single"/>
        </w:rPr>
        <w:t>Forecast of State and Federal Revenues</w:t>
      </w:r>
    </w:p>
    <w:p w:rsidR="00366BCF" w:rsidRDefault="007E479C" w:rsidP="002378AC">
      <w:pPr>
        <w:rPr>
          <w:sz w:val="24"/>
        </w:rPr>
      </w:pPr>
      <w:r w:rsidRPr="009B4D64">
        <w:rPr>
          <w:sz w:val="24"/>
        </w:rPr>
        <w:t>The 20</w:t>
      </w:r>
      <w:r w:rsidR="00405FD2">
        <w:rPr>
          <w:sz w:val="24"/>
        </w:rPr>
        <w:t>40</w:t>
      </w:r>
      <w:r w:rsidRPr="009B4D64">
        <w:rPr>
          <w:sz w:val="24"/>
        </w:rPr>
        <w:t xml:space="preserve"> Revenue Forecast includes program estimates for the expenditure of state and federal funds expected from current revenue sources (i.e., new revenue sources were </w:t>
      </w:r>
      <w:r w:rsidRPr="009B4D64">
        <w:rPr>
          <w:sz w:val="24"/>
          <w:u w:val="single"/>
        </w:rPr>
        <w:t>not</w:t>
      </w:r>
      <w:r w:rsidRPr="009B4D64">
        <w:rPr>
          <w:sz w:val="24"/>
        </w:rPr>
        <w:t xml:space="preserve"> added).  The forecast estimated revenues from federal, state, and Turnpike sources included in the Department’s 5-Year Work Program.  The forecast did not estimate revenue from other sources (i.e., local government/authority taxes, fees, and bond proceeds; private sector participation; and innovative finance sources).</w:t>
      </w:r>
      <w:r w:rsidR="00126940" w:rsidRPr="009B4D64">
        <w:rPr>
          <w:sz w:val="24"/>
        </w:rPr>
        <w:t xml:space="preserve"> </w:t>
      </w:r>
      <w:r w:rsidR="00366BCF" w:rsidRPr="009B4D64">
        <w:rPr>
          <w:sz w:val="24"/>
        </w:rPr>
        <w:t xml:space="preserve">Estimates of state revenue sources were based on estimates prepared by the State Revenue Estimating Conference in </w:t>
      </w:r>
      <w:r w:rsidR="00B022DD">
        <w:rPr>
          <w:sz w:val="24"/>
        </w:rPr>
        <w:t>August</w:t>
      </w:r>
      <w:r w:rsidR="00405FD2">
        <w:rPr>
          <w:sz w:val="24"/>
        </w:rPr>
        <w:t xml:space="preserve"> 2012</w:t>
      </w:r>
      <w:r w:rsidR="00366BCF" w:rsidRPr="009B4D64">
        <w:rPr>
          <w:sz w:val="24"/>
        </w:rPr>
        <w:t xml:space="preserve"> for state fiscal years </w:t>
      </w:r>
      <w:r w:rsidR="00405FD2">
        <w:rPr>
          <w:sz w:val="24"/>
        </w:rPr>
        <w:t>2014</w:t>
      </w:r>
      <w:r w:rsidR="00405FD2" w:rsidRPr="009B4D64">
        <w:rPr>
          <w:sz w:val="24"/>
        </w:rPr>
        <w:t xml:space="preserve"> </w:t>
      </w:r>
      <w:r w:rsidR="00366BCF" w:rsidRPr="009B4D64">
        <w:rPr>
          <w:sz w:val="24"/>
        </w:rPr>
        <w:t xml:space="preserve">through </w:t>
      </w:r>
      <w:r w:rsidR="00405FD2">
        <w:rPr>
          <w:sz w:val="24"/>
        </w:rPr>
        <w:t>2021</w:t>
      </w:r>
      <w:r w:rsidR="00366BCF" w:rsidRPr="009B4D64">
        <w:rPr>
          <w:sz w:val="24"/>
        </w:rPr>
        <w:t>. Estimates of federal revenue sources were based on the Department’s Federal Aid Forecast for the same fiscal years. Assumptions about revenue growth were as follows:</w:t>
      </w:r>
    </w:p>
    <w:p w:rsidR="006D50DC" w:rsidRDefault="006D50DC" w:rsidP="002378AC">
      <w:pPr>
        <w:rPr>
          <w:sz w:val="24"/>
        </w:rPr>
      </w:pPr>
    </w:p>
    <w:p w:rsidR="00B15701" w:rsidRPr="009B4D64" w:rsidRDefault="00B15701" w:rsidP="002378A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260"/>
        <w:gridCol w:w="5148"/>
      </w:tblGrid>
      <w:tr w:rsidR="00366BCF" w:rsidRPr="00563E30" w:rsidTr="00A235B7">
        <w:tc>
          <w:tcPr>
            <w:tcW w:w="3168" w:type="dxa"/>
          </w:tcPr>
          <w:p w:rsidR="00366BCF" w:rsidRPr="00563E30" w:rsidRDefault="00366BCF" w:rsidP="002378AC">
            <w:pPr>
              <w:rPr>
                <w:rFonts w:ascii="Calibri" w:hAnsi="Calibri"/>
                <w:b/>
                <w:sz w:val="24"/>
              </w:rPr>
            </w:pPr>
            <w:r w:rsidRPr="00563E30">
              <w:rPr>
                <w:rFonts w:ascii="Calibri" w:hAnsi="Calibri"/>
                <w:b/>
                <w:sz w:val="24"/>
              </w:rPr>
              <w:t>Revenue Sources</w:t>
            </w:r>
          </w:p>
        </w:tc>
        <w:tc>
          <w:tcPr>
            <w:tcW w:w="1260" w:type="dxa"/>
          </w:tcPr>
          <w:p w:rsidR="00366BCF" w:rsidRPr="00563E30" w:rsidRDefault="00366BCF" w:rsidP="00A235B7">
            <w:pPr>
              <w:jc w:val="center"/>
              <w:rPr>
                <w:rFonts w:ascii="Calibri" w:hAnsi="Calibri"/>
                <w:b/>
                <w:sz w:val="24"/>
              </w:rPr>
            </w:pPr>
            <w:r w:rsidRPr="00563E30">
              <w:rPr>
                <w:rFonts w:ascii="Calibri" w:hAnsi="Calibri"/>
                <w:b/>
                <w:sz w:val="24"/>
              </w:rPr>
              <w:t>Years</w:t>
            </w:r>
          </w:p>
        </w:tc>
        <w:tc>
          <w:tcPr>
            <w:tcW w:w="5148" w:type="dxa"/>
          </w:tcPr>
          <w:p w:rsidR="00366BCF" w:rsidRPr="00563E30" w:rsidRDefault="00366BCF" w:rsidP="002378AC">
            <w:pPr>
              <w:rPr>
                <w:rFonts w:ascii="Calibri" w:hAnsi="Calibri"/>
                <w:b/>
                <w:sz w:val="24"/>
              </w:rPr>
            </w:pPr>
            <w:r w:rsidRPr="00563E30">
              <w:rPr>
                <w:rFonts w:ascii="Calibri" w:hAnsi="Calibri"/>
                <w:b/>
                <w:sz w:val="24"/>
              </w:rPr>
              <w:t>Assumption</w:t>
            </w:r>
            <w:r w:rsidR="0050289B" w:rsidRPr="00563E30">
              <w:rPr>
                <w:rFonts w:ascii="Calibri" w:hAnsi="Calibri"/>
                <w:b/>
                <w:sz w:val="24"/>
              </w:rPr>
              <w:t>s</w:t>
            </w:r>
          </w:p>
        </w:tc>
      </w:tr>
      <w:tr w:rsidR="00F02506" w:rsidRPr="009B4D64" w:rsidTr="00A235B7">
        <w:tc>
          <w:tcPr>
            <w:tcW w:w="3168" w:type="dxa"/>
            <w:vMerge w:val="restart"/>
          </w:tcPr>
          <w:p w:rsidR="00F02506" w:rsidRPr="009B4D64" w:rsidRDefault="00F02506" w:rsidP="002378AC">
            <w:pPr>
              <w:rPr>
                <w:rFonts w:ascii="Calibri" w:hAnsi="Calibri"/>
                <w:sz w:val="22"/>
                <w:szCs w:val="22"/>
              </w:rPr>
            </w:pPr>
            <w:r w:rsidRPr="009B4D64">
              <w:rPr>
                <w:rFonts w:ascii="Calibri" w:hAnsi="Calibri"/>
                <w:sz w:val="22"/>
                <w:szCs w:val="22"/>
              </w:rPr>
              <w:t>State Fuel Taxes</w:t>
            </w:r>
          </w:p>
        </w:tc>
        <w:tc>
          <w:tcPr>
            <w:tcW w:w="1260" w:type="dxa"/>
          </w:tcPr>
          <w:p w:rsidR="00F02506" w:rsidRPr="009B4D64" w:rsidRDefault="00784883" w:rsidP="00A235B7">
            <w:pPr>
              <w:jc w:val="center"/>
              <w:rPr>
                <w:rFonts w:ascii="Calibri" w:hAnsi="Calibri"/>
                <w:sz w:val="22"/>
                <w:szCs w:val="22"/>
              </w:rPr>
            </w:pPr>
            <w:r>
              <w:rPr>
                <w:rFonts w:ascii="Calibri" w:hAnsi="Calibri"/>
                <w:sz w:val="22"/>
                <w:szCs w:val="22"/>
              </w:rPr>
              <w:t>2014-2021</w:t>
            </w:r>
          </w:p>
        </w:tc>
        <w:tc>
          <w:tcPr>
            <w:tcW w:w="5148" w:type="dxa"/>
          </w:tcPr>
          <w:p w:rsidR="00F02506" w:rsidRPr="009B4D64" w:rsidRDefault="00F02506" w:rsidP="002378AC">
            <w:pPr>
              <w:rPr>
                <w:rFonts w:ascii="Calibri" w:hAnsi="Calibri"/>
                <w:sz w:val="22"/>
                <w:szCs w:val="22"/>
              </w:rPr>
            </w:pPr>
            <w:r w:rsidRPr="009B4D64">
              <w:rPr>
                <w:rFonts w:ascii="Calibri" w:hAnsi="Calibri"/>
                <w:sz w:val="22"/>
                <w:szCs w:val="22"/>
              </w:rPr>
              <w:t>Florida Revenue Estimating Conference Estimates</w:t>
            </w:r>
          </w:p>
        </w:tc>
      </w:tr>
      <w:tr w:rsidR="00F02506" w:rsidRPr="009B4D64" w:rsidTr="00A235B7">
        <w:tc>
          <w:tcPr>
            <w:tcW w:w="3168" w:type="dxa"/>
            <w:vMerge/>
          </w:tcPr>
          <w:p w:rsidR="00F02506" w:rsidRPr="009B4D64" w:rsidRDefault="00F02506" w:rsidP="002378AC">
            <w:pPr>
              <w:rPr>
                <w:rFonts w:ascii="Calibri" w:hAnsi="Calibri"/>
                <w:sz w:val="22"/>
                <w:szCs w:val="22"/>
              </w:rPr>
            </w:pPr>
          </w:p>
        </w:tc>
        <w:tc>
          <w:tcPr>
            <w:tcW w:w="1260" w:type="dxa"/>
          </w:tcPr>
          <w:p w:rsidR="00F02506" w:rsidRPr="009B4D64" w:rsidRDefault="00784883" w:rsidP="00A235B7">
            <w:pPr>
              <w:jc w:val="center"/>
              <w:rPr>
                <w:rFonts w:ascii="Calibri" w:hAnsi="Calibri"/>
                <w:sz w:val="22"/>
                <w:szCs w:val="22"/>
              </w:rPr>
            </w:pPr>
            <w:r>
              <w:rPr>
                <w:rFonts w:ascii="Calibri" w:hAnsi="Calibri"/>
                <w:sz w:val="22"/>
                <w:szCs w:val="22"/>
              </w:rPr>
              <w:t>2022-2040</w:t>
            </w:r>
          </w:p>
        </w:tc>
        <w:tc>
          <w:tcPr>
            <w:tcW w:w="5148" w:type="dxa"/>
          </w:tcPr>
          <w:p w:rsidR="00F02506" w:rsidRPr="009B4D64" w:rsidRDefault="00F02506" w:rsidP="00784883">
            <w:pPr>
              <w:rPr>
                <w:rFonts w:ascii="Calibri" w:hAnsi="Calibri"/>
                <w:sz w:val="22"/>
                <w:szCs w:val="22"/>
              </w:rPr>
            </w:pPr>
            <w:r w:rsidRPr="009B4D64">
              <w:rPr>
                <w:rFonts w:ascii="Calibri" w:hAnsi="Calibri"/>
                <w:sz w:val="22"/>
                <w:szCs w:val="22"/>
              </w:rPr>
              <w:t xml:space="preserve">Annual </w:t>
            </w:r>
            <w:r w:rsidR="00784883">
              <w:rPr>
                <w:rFonts w:ascii="Calibri" w:hAnsi="Calibri"/>
                <w:sz w:val="22"/>
                <w:szCs w:val="22"/>
              </w:rPr>
              <w:t>2.54% increase in 2022</w:t>
            </w:r>
            <w:r w:rsidRPr="009B4D64">
              <w:rPr>
                <w:rFonts w:ascii="Calibri" w:hAnsi="Calibri"/>
                <w:sz w:val="22"/>
                <w:szCs w:val="22"/>
              </w:rPr>
              <w:t xml:space="preserve">, gradually decreasing to </w:t>
            </w:r>
            <w:r w:rsidR="00784883">
              <w:rPr>
                <w:rFonts w:ascii="Calibri" w:hAnsi="Calibri"/>
                <w:sz w:val="22"/>
                <w:szCs w:val="22"/>
              </w:rPr>
              <w:t>0.55</w:t>
            </w:r>
            <w:r w:rsidRPr="009B4D64">
              <w:rPr>
                <w:rFonts w:ascii="Calibri" w:hAnsi="Calibri"/>
                <w:sz w:val="22"/>
                <w:szCs w:val="22"/>
              </w:rPr>
              <w:t>% in 20</w:t>
            </w:r>
            <w:r w:rsidR="00784883">
              <w:rPr>
                <w:rFonts w:ascii="Calibri" w:hAnsi="Calibri"/>
                <w:sz w:val="22"/>
                <w:szCs w:val="22"/>
              </w:rPr>
              <w:t>40</w:t>
            </w:r>
          </w:p>
        </w:tc>
      </w:tr>
      <w:tr w:rsidR="00784883" w:rsidRPr="009B4D64" w:rsidTr="00A235B7">
        <w:tc>
          <w:tcPr>
            <w:tcW w:w="3168" w:type="dxa"/>
            <w:vMerge w:val="restart"/>
          </w:tcPr>
          <w:p w:rsidR="00784883" w:rsidRPr="009B4D64" w:rsidRDefault="00784883" w:rsidP="00FA634B">
            <w:pPr>
              <w:rPr>
                <w:rFonts w:ascii="Calibri" w:hAnsi="Calibri"/>
                <w:sz w:val="22"/>
                <w:szCs w:val="22"/>
              </w:rPr>
            </w:pPr>
            <w:r w:rsidRPr="009B4D64">
              <w:rPr>
                <w:rFonts w:ascii="Calibri" w:hAnsi="Calibri"/>
                <w:sz w:val="22"/>
                <w:szCs w:val="22"/>
              </w:rPr>
              <w:t>State Tourism-Driven Sources (Rental Car Surcharge, Aviation Fuel Tax)</w:t>
            </w: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2014-2021</w:t>
            </w:r>
          </w:p>
        </w:tc>
        <w:tc>
          <w:tcPr>
            <w:tcW w:w="5148" w:type="dxa"/>
          </w:tcPr>
          <w:p w:rsidR="00784883" w:rsidRPr="009B4D64" w:rsidRDefault="00784883" w:rsidP="0050289B">
            <w:pPr>
              <w:rPr>
                <w:rFonts w:ascii="Calibri" w:hAnsi="Calibri"/>
                <w:sz w:val="22"/>
                <w:szCs w:val="22"/>
              </w:rPr>
            </w:pPr>
            <w:r w:rsidRPr="009B4D64">
              <w:rPr>
                <w:rFonts w:ascii="Calibri" w:hAnsi="Calibri"/>
                <w:sz w:val="22"/>
                <w:szCs w:val="22"/>
              </w:rPr>
              <w:t>Florida Revenue Estimating Conference Estimates</w:t>
            </w:r>
          </w:p>
        </w:tc>
      </w:tr>
      <w:tr w:rsidR="00784883" w:rsidRPr="009B4D64" w:rsidTr="00A235B7">
        <w:tc>
          <w:tcPr>
            <w:tcW w:w="3168" w:type="dxa"/>
            <w:vMerge/>
          </w:tcPr>
          <w:p w:rsidR="00784883" w:rsidRPr="009B4D64" w:rsidRDefault="00784883" w:rsidP="002378AC">
            <w:pPr>
              <w:rPr>
                <w:rFonts w:ascii="Calibri" w:hAnsi="Calibri"/>
                <w:sz w:val="22"/>
                <w:szCs w:val="22"/>
              </w:rPr>
            </w:pP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2022-2040</w:t>
            </w:r>
          </w:p>
        </w:tc>
        <w:tc>
          <w:tcPr>
            <w:tcW w:w="5148" w:type="dxa"/>
          </w:tcPr>
          <w:p w:rsidR="00784883" w:rsidRPr="009B4D64" w:rsidRDefault="00784883" w:rsidP="00784883">
            <w:pPr>
              <w:rPr>
                <w:rFonts w:ascii="Calibri" w:hAnsi="Calibri"/>
                <w:sz w:val="22"/>
                <w:szCs w:val="22"/>
              </w:rPr>
            </w:pPr>
            <w:r w:rsidRPr="009B4D64">
              <w:rPr>
                <w:rFonts w:ascii="Calibri" w:hAnsi="Calibri"/>
                <w:sz w:val="22"/>
                <w:szCs w:val="22"/>
              </w:rPr>
              <w:t xml:space="preserve">Annual </w:t>
            </w:r>
            <w:r>
              <w:rPr>
                <w:rFonts w:ascii="Calibri" w:hAnsi="Calibri"/>
                <w:sz w:val="22"/>
                <w:szCs w:val="22"/>
              </w:rPr>
              <w:t>3.04% increase in 2022</w:t>
            </w:r>
            <w:r w:rsidRPr="009B4D64">
              <w:rPr>
                <w:rFonts w:ascii="Calibri" w:hAnsi="Calibri"/>
                <w:sz w:val="22"/>
                <w:szCs w:val="22"/>
              </w:rPr>
              <w:t xml:space="preserve">, gradually decreasing to </w:t>
            </w:r>
            <w:r>
              <w:rPr>
                <w:rFonts w:ascii="Calibri" w:hAnsi="Calibri"/>
                <w:sz w:val="22"/>
                <w:szCs w:val="22"/>
              </w:rPr>
              <w:t>2.86</w:t>
            </w:r>
            <w:r w:rsidRPr="009B4D64">
              <w:rPr>
                <w:rFonts w:ascii="Calibri" w:hAnsi="Calibri"/>
                <w:sz w:val="22"/>
                <w:szCs w:val="22"/>
              </w:rPr>
              <w:t>% in 20</w:t>
            </w:r>
            <w:r>
              <w:rPr>
                <w:rFonts w:ascii="Calibri" w:hAnsi="Calibri"/>
                <w:sz w:val="22"/>
                <w:szCs w:val="22"/>
              </w:rPr>
              <w:t>40</w:t>
            </w:r>
          </w:p>
        </w:tc>
      </w:tr>
      <w:tr w:rsidR="00784883" w:rsidRPr="009B4D64" w:rsidTr="00A235B7">
        <w:tc>
          <w:tcPr>
            <w:tcW w:w="3168" w:type="dxa"/>
            <w:vMerge w:val="restart"/>
          </w:tcPr>
          <w:p w:rsidR="00784883" w:rsidRPr="009B4D64" w:rsidRDefault="00784883" w:rsidP="002378AC">
            <w:pPr>
              <w:rPr>
                <w:rFonts w:ascii="Calibri" w:hAnsi="Calibri"/>
                <w:sz w:val="22"/>
                <w:szCs w:val="22"/>
              </w:rPr>
            </w:pPr>
            <w:r w:rsidRPr="009B4D64">
              <w:rPr>
                <w:rFonts w:ascii="Calibri" w:hAnsi="Calibri"/>
                <w:sz w:val="22"/>
                <w:szCs w:val="22"/>
              </w:rPr>
              <w:t>State Vehicle-Related Taxes (Vehicle License, Initial Registration, and Incremental Title fees)</w:t>
            </w: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2014-2021</w:t>
            </w:r>
          </w:p>
        </w:tc>
        <w:tc>
          <w:tcPr>
            <w:tcW w:w="5148" w:type="dxa"/>
          </w:tcPr>
          <w:p w:rsidR="00784883" w:rsidRPr="009B4D64" w:rsidRDefault="00784883" w:rsidP="00FA634B">
            <w:pPr>
              <w:rPr>
                <w:rFonts w:ascii="Calibri" w:hAnsi="Calibri"/>
                <w:sz w:val="22"/>
                <w:szCs w:val="22"/>
              </w:rPr>
            </w:pPr>
            <w:r w:rsidRPr="009B4D64">
              <w:rPr>
                <w:rFonts w:ascii="Calibri" w:hAnsi="Calibri"/>
                <w:sz w:val="22"/>
                <w:szCs w:val="22"/>
              </w:rPr>
              <w:t>Florida Revenue Estimating Conference Estimates</w:t>
            </w:r>
          </w:p>
        </w:tc>
      </w:tr>
      <w:tr w:rsidR="00784883" w:rsidRPr="009B4D64" w:rsidTr="00A235B7">
        <w:tc>
          <w:tcPr>
            <w:tcW w:w="3168" w:type="dxa"/>
            <w:vMerge/>
          </w:tcPr>
          <w:p w:rsidR="00784883" w:rsidRPr="009B4D64" w:rsidRDefault="00784883" w:rsidP="002378AC">
            <w:pPr>
              <w:rPr>
                <w:rFonts w:ascii="Calibri" w:hAnsi="Calibri"/>
                <w:sz w:val="22"/>
                <w:szCs w:val="22"/>
              </w:rPr>
            </w:pP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2022-2040</w:t>
            </w:r>
          </w:p>
        </w:tc>
        <w:tc>
          <w:tcPr>
            <w:tcW w:w="5148" w:type="dxa"/>
          </w:tcPr>
          <w:p w:rsidR="00784883" w:rsidRPr="009B4D64" w:rsidRDefault="00784883" w:rsidP="00784883">
            <w:pPr>
              <w:rPr>
                <w:rFonts w:ascii="Calibri" w:hAnsi="Calibri"/>
                <w:sz w:val="22"/>
                <w:szCs w:val="22"/>
              </w:rPr>
            </w:pPr>
            <w:r w:rsidRPr="009B4D64">
              <w:rPr>
                <w:rFonts w:ascii="Calibri" w:hAnsi="Calibri"/>
                <w:sz w:val="22"/>
                <w:szCs w:val="22"/>
              </w:rPr>
              <w:t xml:space="preserve">Annual </w:t>
            </w:r>
            <w:r>
              <w:rPr>
                <w:rFonts w:ascii="Calibri" w:hAnsi="Calibri"/>
                <w:sz w:val="22"/>
                <w:szCs w:val="22"/>
              </w:rPr>
              <w:t>2.28% increase in 2022</w:t>
            </w:r>
            <w:r w:rsidRPr="009B4D64">
              <w:rPr>
                <w:rFonts w:ascii="Calibri" w:hAnsi="Calibri"/>
                <w:sz w:val="22"/>
                <w:szCs w:val="22"/>
              </w:rPr>
              <w:t>, gradually decreasing to 1.</w:t>
            </w:r>
            <w:r>
              <w:rPr>
                <w:rFonts w:ascii="Calibri" w:hAnsi="Calibri"/>
                <w:sz w:val="22"/>
                <w:szCs w:val="22"/>
              </w:rPr>
              <w:t>71</w:t>
            </w:r>
            <w:r w:rsidRPr="009B4D64">
              <w:rPr>
                <w:rFonts w:ascii="Calibri" w:hAnsi="Calibri"/>
                <w:sz w:val="22"/>
                <w:szCs w:val="22"/>
              </w:rPr>
              <w:t>% in 20</w:t>
            </w:r>
            <w:r>
              <w:rPr>
                <w:rFonts w:ascii="Calibri" w:hAnsi="Calibri"/>
                <w:sz w:val="22"/>
                <w:szCs w:val="22"/>
              </w:rPr>
              <w:t>40</w:t>
            </w:r>
          </w:p>
        </w:tc>
      </w:tr>
      <w:tr w:rsidR="00784883" w:rsidRPr="009B4D64" w:rsidTr="00A235B7">
        <w:tc>
          <w:tcPr>
            <w:tcW w:w="3168" w:type="dxa"/>
            <w:vMerge w:val="restart"/>
          </w:tcPr>
          <w:p w:rsidR="00784883" w:rsidRPr="009B4D64" w:rsidRDefault="00784883" w:rsidP="002378AC">
            <w:pPr>
              <w:rPr>
                <w:rFonts w:ascii="Calibri" w:hAnsi="Calibri"/>
                <w:sz w:val="22"/>
                <w:szCs w:val="22"/>
              </w:rPr>
            </w:pPr>
            <w:r>
              <w:rPr>
                <w:rFonts w:ascii="Calibri" w:hAnsi="Calibri"/>
                <w:sz w:val="22"/>
                <w:szCs w:val="22"/>
              </w:rPr>
              <w:t>Documentary Stamps Taxes</w:t>
            </w: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2014-2021</w:t>
            </w:r>
          </w:p>
        </w:tc>
        <w:tc>
          <w:tcPr>
            <w:tcW w:w="5148" w:type="dxa"/>
          </w:tcPr>
          <w:p w:rsidR="00784883" w:rsidRPr="009B4D64" w:rsidRDefault="00784883" w:rsidP="00784883">
            <w:pPr>
              <w:rPr>
                <w:rFonts w:ascii="Calibri" w:hAnsi="Calibri"/>
                <w:sz w:val="22"/>
                <w:szCs w:val="22"/>
              </w:rPr>
            </w:pPr>
            <w:r w:rsidRPr="009B4D64">
              <w:rPr>
                <w:rFonts w:ascii="Calibri" w:hAnsi="Calibri"/>
                <w:sz w:val="22"/>
                <w:szCs w:val="22"/>
              </w:rPr>
              <w:t>Florida Revenue Estimating Conference Estimates</w:t>
            </w:r>
          </w:p>
        </w:tc>
      </w:tr>
      <w:tr w:rsidR="00784883" w:rsidRPr="009B4D64" w:rsidTr="00A235B7">
        <w:tc>
          <w:tcPr>
            <w:tcW w:w="3168" w:type="dxa"/>
            <w:vMerge/>
          </w:tcPr>
          <w:p w:rsidR="00784883" w:rsidRDefault="00784883" w:rsidP="002378AC">
            <w:pPr>
              <w:rPr>
                <w:rFonts w:ascii="Calibri" w:hAnsi="Calibri"/>
                <w:sz w:val="22"/>
                <w:szCs w:val="22"/>
              </w:rPr>
            </w:pP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2022-2040</w:t>
            </w:r>
          </w:p>
        </w:tc>
        <w:tc>
          <w:tcPr>
            <w:tcW w:w="5148" w:type="dxa"/>
          </w:tcPr>
          <w:p w:rsidR="00784883" w:rsidRPr="009B4D64" w:rsidRDefault="00784883" w:rsidP="00784883">
            <w:pPr>
              <w:rPr>
                <w:rFonts w:ascii="Calibri" w:hAnsi="Calibri"/>
                <w:sz w:val="22"/>
                <w:szCs w:val="22"/>
              </w:rPr>
            </w:pPr>
            <w:r>
              <w:rPr>
                <w:rFonts w:ascii="Calibri" w:hAnsi="Calibri"/>
                <w:sz w:val="22"/>
                <w:szCs w:val="22"/>
              </w:rPr>
              <w:t>$348.5 million annually</w:t>
            </w:r>
          </w:p>
        </w:tc>
      </w:tr>
      <w:tr w:rsidR="00784883" w:rsidRPr="009B4D64" w:rsidTr="00A235B7">
        <w:tc>
          <w:tcPr>
            <w:tcW w:w="3168" w:type="dxa"/>
            <w:vMerge w:val="restart"/>
          </w:tcPr>
          <w:p w:rsidR="00784883" w:rsidRPr="009B4D64" w:rsidRDefault="00784883" w:rsidP="00F02506">
            <w:pPr>
              <w:rPr>
                <w:rFonts w:ascii="Calibri" w:hAnsi="Calibri"/>
                <w:sz w:val="22"/>
                <w:szCs w:val="22"/>
              </w:rPr>
            </w:pPr>
            <w:r w:rsidRPr="009B4D64">
              <w:rPr>
                <w:rFonts w:ascii="Calibri" w:hAnsi="Calibri"/>
                <w:sz w:val="22"/>
                <w:szCs w:val="22"/>
              </w:rPr>
              <w:t xml:space="preserve">Federal Distributions </w:t>
            </w:r>
          </w:p>
          <w:p w:rsidR="00784883" w:rsidRPr="009B4D64" w:rsidRDefault="00784883" w:rsidP="00F02506">
            <w:pPr>
              <w:rPr>
                <w:rFonts w:ascii="Calibri" w:hAnsi="Calibri"/>
                <w:sz w:val="22"/>
                <w:szCs w:val="22"/>
              </w:rPr>
            </w:pPr>
            <w:r w:rsidRPr="009B4D64">
              <w:rPr>
                <w:rFonts w:ascii="Calibri" w:hAnsi="Calibri"/>
                <w:sz w:val="22"/>
                <w:szCs w:val="22"/>
              </w:rPr>
              <w:t>(Total Obligating Authority)</w:t>
            </w: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2014-2021</w:t>
            </w:r>
          </w:p>
        </w:tc>
        <w:tc>
          <w:tcPr>
            <w:tcW w:w="5148" w:type="dxa"/>
          </w:tcPr>
          <w:p w:rsidR="00784883" w:rsidRPr="009B4D64" w:rsidRDefault="00784883" w:rsidP="00F02506">
            <w:pPr>
              <w:rPr>
                <w:rFonts w:ascii="Calibri" w:hAnsi="Calibri"/>
                <w:sz w:val="22"/>
                <w:szCs w:val="22"/>
              </w:rPr>
            </w:pPr>
            <w:r w:rsidRPr="009B4D64">
              <w:rPr>
                <w:rFonts w:ascii="Calibri" w:hAnsi="Calibri"/>
                <w:sz w:val="22"/>
                <w:szCs w:val="22"/>
              </w:rPr>
              <w:t>FDOT Federal Aid Forecast</w:t>
            </w:r>
          </w:p>
        </w:tc>
      </w:tr>
      <w:tr w:rsidR="00784883" w:rsidRPr="009B4D64" w:rsidTr="00A235B7">
        <w:tc>
          <w:tcPr>
            <w:tcW w:w="3168" w:type="dxa"/>
            <w:vMerge/>
          </w:tcPr>
          <w:p w:rsidR="00784883" w:rsidRPr="009B4D64" w:rsidRDefault="00784883" w:rsidP="002378AC">
            <w:pPr>
              <w:rPr>
                <w:rFonts w:ascii="Calibri" w:hAnsi="Calibri"/>
                <w:sz w:val="22"/>
                <w:szCs w:val="22"/>
              </w:rPr>
            </w:pPr>
          </w:p>
        </w:tc>
        <w:tc>
          <w:tcPr>
            <w:tcW w:w="1260" w:type="dxa"/>
          </w:tcPr>
          <w:p w:rsidR="00784883" w:rsidRPr="009B4D64" w:rsidRDefault="00784883" w:rsidP="00784883">
            <w:pPr>
              <w:jc w:val="center"/>
              <w:rPr>
                <w:rFonts w:ascii="Calibri" w:hAnsi="Calibri"/>
                <w:sz w:val="22"/>
                <w:szCs w:val="22"/>
              </w:rPr>
            </w:pPr>
            <w:r>
              <w:rPr>
                <w:rFonts w:ascii="Calibri" w:hAnsi="Calibri"/>
                <w:sz w:val="22"/>
                <w:szCs w:val="22"/>
              </w:rPr>
              <w:t>2022-2040</w:t>
            </w:r>
          </w:p>
        </w:tc>
        <w:tc>
          <w:tcPr>
            <w:tcW w:w="5148" w:type="dxa"/>
          </w:tcPr>
          <w:p w:rsidR="00784883" w:rsidRPr="009B4D64" w:rsidRDefault="00784883" w:rsidP="00784883">
            <w:pPr>
              <w:rPr>
                <w:rFonts w:ascii="Calibri" w:hAnsi="Calibri"/>
                <w:sz w:val="22"/>
                <w:szCs w:val="22"/>
              </w:rPr>
            </w:pPr>
            <w:r w:rsidRPr="009B4D64">
              <w:rPr>
                <w:rFonts w:ascii="Calibri" w:hAnsi="Calibri"/>
                <w:sz w:val="22"/>
                <w:szCs w:val="22"/>
              </w:rPr>
              <w:t xml:space="preserve">Annual </w:t>
            </w:r>
            <w:r>
              <w:rPr>
                <w:rFonts w:ascii="Calibri" w:hAnsi="Calibri"/>
                <w:sz w:val="22"/>
                <w:szCs w:val="22"/>
              </w:rPr>
              <w:t>0.0% increase through 2040</w:t>
            </w:r>
          </w:p>
        </w:tc>
      </w:tr>
      <w:tr w:rsidR="00784883" w:rsidRPr="009B4D64" w:rsidTr="00A235B7">
        <w:tc>
          <w:tcPr>
            <w:tcW w:w="3168" w:type="dxa"/>
          </w:tcPr>
          <w:p w:rsidR="00784883" w:rsidRPr="009B4D64" w:rsidRDefault="00784883" w:rsidP="002378AC">
            <w:pPr>
              <w:rPr>
                <w:rFonts w:ascii="Calibri" w:hAnsi="Calibri"/>
                <w:sz w:val="22"/>
                <w:szCs w:val="22"/>
              </w:rPr>
            </w:pPr>
            <w:r w:rsidRPr="009B4D64">
              <w:rPr>
                <w:rFonts w:ascii="Calibri" w:hAnsi="Calibri"/>
                <w:sz w:val="22"/>
                <w:szCs w:val="22"/>
              </w:rPr>
              <w:t>Turnpike</w:t>
            </w:r>
          </w:p>
        </w:tc>
        <w:tc>
          <w:tcPr>
            <w:tcW w:w="1260" w:type="dxa"/>
          </w:tcPr>
          <w:p w:rsidR="00784883" w:rsidRPr="009B4D64" w:rsidRDefault="00784883" w:rsidP="00A235B7">
            <w:pPr>
              <w:jc w:val="center"/>
              <w:rPr>
                <w:rFonts w:ascii="Calibri" w:hAnsi="Calibri"/>
                <w:sz w:val="22"/>
                <w:szCs w:val="22"/>
              </w:rPr>
            </w:pPr>
            <w:r>
              <w:rPr>
                <w:rFonts w:ascii="Calibri" w:hAnsi="Calibri"/>
                <w:sz w:val="22"/>
                <w:szCs w:val="22"/>
              </w:rPr>
              <w:t>2014-2022</w:t>
            </w:r>
          </w:p>
        </w:tc>
        <w:tc>
          <w:tcPr>
            <w:tcW w:w="5148" w:type="dxa"/>
          </w:tcPr>
          <w:p w:rsidR="00784883" w:rsidRPr="009B4D64" w:rsidRDefault="00784883" w:rsidP="00F02506">
            <w:pPr>
              <w:rPr>
                <w:rFonts w:ascii="Calibri" w:hAnsi="Calibri"/>
                <w:sz w:val="22"/>
                <w:szCs w:val="22"/>
              </w:rPr>
            </w:pPr>
            <w:r w:rsidRPr="009B4D64">
              <w:rPr>
                <w:rFonts w:ascii="Calibri" w:hAnsi="Calibri"/>
                <w:sz w:val="22"/>
                <w:szCs w:val="22"/>
              </w:rPr>
              <w:t>Existing and programmed projects, cap on outstanding debt, and planned toll increases on expansion projects</w:t>
            </w:r>
          </w:p>
        </w:tc>
      </w:tr>
    </w:tbl>
    <w:p w:rsidR="00366BCF" w:rsidRPr="009B4D64" w:rsidRDefault="00366BCF" w:rsidP="002378AC">
      <w:pPr>
        <w:rPr>
          <w:sz w:val="24"/>
        </w:rPr>
      </w:pPr>
    </w:p>
    <w:p w:rsidR="00AC6315" w:rsidRDefault="007E479C" w:rsidP="007E479C">
      <w:pPr>
        <w:rPr>
          <w:sz w:val="24"/>
        </w:rPr>
      </w:pPr>
      <w:r w:rsidRPr="009B4D64">
        <w:rPr>
          <w:sz w:val="24"/>
        </w:rPr>
        <w:t xml:space="preserve"> </w:t>
      </w:r>
      <w:r w:rsidR="00563E30" w:rsidRPr="009B4D64">
        <w:rPr>
          <w:sz w:val="24"/>
        </w:rPr>
        <w:t>A summary of the forecast of state, federal and Turnpike revenues is shown in Table 1.</w:t>
      </w:r>
      <w:r w:rsidR="00563E30">
        <w:rPr>
          <w:sz w:val="24"/>
        </w:rPr>
        <w:t xml:space="preserve"> </w:t>
      </w:r>
      <w:r w:rsidRPr="009B4D64">
        <w:rPr>
          <w:sz w:val="24"/>
        </w:rPr>
        <w:t xml:space="preserve">The </w:t>
      </w:r>
      <w:r w:rsidR="00405FD2">
        <w:rPr>
          <w:i/>
          <w:sz w:val="24"/>
        </w:rPr>
        <w:t>2040</w:t>
      </w:r>
      <w:r w:rsidR="00405FD2" w:rsidRPr="009B4D64">
        <w:rPr>
          <w:i/>
          <w:sz w:val="24"/>
        </w:rPr>
        <w:t xml:space="preserve"> </w:t>
      </w:r>
      <w:r w:rsidRPr="009B4D64">
        <w:rPr>
          <w:i/>
          <w:sz w:val="24"/>
        </w:rPr>
        <w:t>Revenue Forecast Handbook</w:t>
      </w:r>
      <w:r w:rsidRPr="009B4D64">
        <w:rPr>
          <w:sz w:val="24"/>
        </w:rPr>
        <w:t xml:space="preserve"> contains inflation factors that can be used to adjust project costs expressed in “present day cost” to “year of expenditure” dollars.  </w:t>
      </w:r>
    </w:p>
    <w:p w:rsidR="00D353C7" w:rsidRPr="009B4D64" w:rsidRDefault="00AC6315" w:rsidP="00D353C7">
      <w:pPr>
        <w:tabs>
          <w:tab w:val="left" w:pos="-1080"/>
          <w:tab w:val="left" w:pos="-720"/>
          <w:tab w:val="left" w:pos="0"/>
          <w:tab w:val="left" w:pos="360"/>
        </w:tabs>
        <w:jc w:val="center"/>
        <w:rPr>
          <w:rFonts w:ascii="Calibri" w:hAnsi="Calibri"/>
          <w:b/>
          <w:bCs/>
          <w:sz w:val="22"/>
          <w:szCs w:val="22"/>
        </w:rPr>
      </w:pPr>
      <w:r>
        <w:rPr>
          <w:sz w:val="24"/>
        </w:rPr>
        <w:br w:type="page"/>
      </w:r>
      <w:r w:rsidR="00D353C7" w:rsidRPr="009B4D64">
        <w:rPr>
          <w:rFonts w:ascii="Calibri" w:hAnsi="Calibri"/>
          <w:b/>
          <w:bCs/>
          <w:sz w:val="22"/>
          <w:szCs w:val="22"/>
        </w:rPr>
        <w:lastRenderedPageBreak/>
        <w:t>Table 1</w:t>
      </w:r>
    </w:p>
    <w:p w:rsidR="00D353C7" w:rsidRPr="009B4D64" w:rsidRDefault="00D353C7" w:rsidP="00D353C7">
      <w:pPr>
        <w:tabs>
          <w:tab w:val="left" w:pos="-1080"/>
          <w:tab w:val="left" w:pos="-720"/>
          <w:tab w:val="left" w:pos="0"/>
          <w:tab w:val="left" w:pos="360"/>
        </w:tabs>
        <w:jc w:val="center"/>
        <w:rPr>
          <w:rFonts w:ascii="Calibri" w:hAnsi="Calibri"/>
          <w:b/>
          <w:bCs/>
          <w:sz w:val="22"/>
          <w:szCs w:val="22"/>
        </w:rPr>
      </w:pPr>
      <w:r w:rsidRPr="009B4D64">
        <w:rPr>
          <w:rFonts w:ascii="Calibri" w:hAnsi="Calibri"/>
          <w:b/>
          <w:bCs/>
          <w:sz w:val="22"/>
          <w:szCs w:val="22"/>
        </w:rPr>
        <w:t>Forecast of Revenues</w:t>
      </w:r>
    </w:p>
    <w:p w:rsidR="00D353C7" w:rsidRPr="005801E8" w:rsidRDefault="0090212F" w:rsidP="00D353C7">
      <w:pPr>
        <w:tabs>
          <w:tab w:val="left" w:pos="-1080"/>
          <w:tab w:val="left" w:pos="-720"/>
          <w:tab w:val="left" w:pos="0"/>
          <w:tab w:val="left" w:pos="360"/>
        </w:tabs>
        <w:jc w:val="center"/>
        <w:rPr>
          <w:rFonts w:ascii="Calibri" w:hAnsi="Calibri"/>
          <w:color w:val="FF0000"/>
          <w:sz w:val="22"/>
          <w:szCs w:val="22"/>
        </w:rPr>
      </w:pPr>
      <w:r>
        <w:rPr>
          <w:rFonts w:ascii="Calibri" w:hAnsi="Calibri"/>
          <w:b/>
          <w:bCs/>
          <w:sz w:val="22"/>
          <w:szCs w:val="22"/>
        </w:rPr>
        <w:t>2040</w:t>
      </w:r>
      <w:r w:rsidR="00D353C7" w:rsidRPr="009B4D64">
        <w:rPr>
          <w:rFonts w:ascii="Calibri" w:hAnsi="Calibri"/>
          <w:b/>
          <w:bCs/>
          <w:sz w:val="22"/>
          <w:szCs w:val="22"/>
        </w:rPr>
        <w:t xml:space="preserve"> Revenue Forecast (Millions of Dollars)</w:t>
      </w:r>
    </w:p>
    <w:p w:rsidR="00D353C7" w:rsidRPr="009B4D64" w:rsidRDefault="00D353C7" w:rsidP="00D353C7">
      <w:pPr>
        <w:tabs>
          <w:tab w:val="left" w:pos="-1080"/>
          <w:tab w:val="left" w:pos="-720"/>
          <w:tab w:val="left" w:pos="0"/>
          <w:tab w:val="left" w:pos="360"/>
        </w:tabs>
        <w:rPr>
          <w:vertAlign w:val="superscript"/>
        </w:rPr>
      </w:pPr>
    </w:p>
    <w:tbl>
      <w:tblPr>
        <w:tblW w:w="0" w:type="auto"/>
        <w:tblBorders>
          <w:top w:val="double" w:sz="4" w:space="0" w:color="auto"/>
          <w:left w:val="double" w:sz="4" w:space="0" w:color="auto"/>
          <w:bottom w:val="double" w:sz="4" w:space="0" w:color="auto"/>
          <w:right w:val="double" w:sz="4" w:space="0" w:color="auto"/>
        </w:tblBorders>
        <w:tblCellMar>
          <w:left w:w="58" w:type="dxa"/>
          <w:right w:w="58" w:type="dxa"/>
        </w:tblCellMar>
        <w:tblLook w:val="04A0" w:firstRow="1" w:lastRow="0" w:firstColumn="1" w:lastColumn="0" w:noHBand="0" w:noVBand="1"/>
      </w:tblPr>
      <w:tblGrid>
        <w:gridCol w:w="1189"/>
        <w:gridCol w:w="1123"/>
        <w:gridCol w:w="1436"/>
        <w:gridCol w:w="1350"/>
        <w:gridCol w:w="1350"/>
        <w:gridCol w:w="1350"/>
        <w:gridCol w:w="1678"/>
      </w:tblGrid>
      <w:tr w:rsidR="00D353C7" w:rsidRPr="009B4D64" w:rsidTr="00F9056B">
        <w:tc>
          <w:tcPr>
            <w:tcW w:w="1189" w:type="dxa"/>
            <w:vMerge w:val="restart"/>
            <w:tcBorders>
              <w:top w:val="double" w:sz="4" w:space="0" w:color="auto"/>
              <w:bottom w:val="single" w:sz="4" w:space="0" w:color="auto"/>
            </w:tcBorders>
            <w:tcMar>
              <w:left w:w="58" w:type="dxa"/>
              <w:right w:w="58" w:type="dxa"/>
            </w:tcMar>
            <w:vAlign w:val="center"/>
          </w:tcPr>
          <w:p w:rsidR="00D353C7" w:rsidRPr="00185CD5" w:rsidRDefault="00D353C7" w:rsidP="00457B7B">
            <w:pPr>
              <w:spacing w:line="240" w:lineRule="exact"/>
              <w:jc w:val="center"/>
              <w:rPr>
                <w:rFonts w:ascii="Calibri" w:hAnsi="Calibri"/>
                <w:szCs w:val="20"/>
              </w:rPr>
            </w:pPr>
          </w:p>
          <w:p w:rsidR="00D353C7" w:rsidRPr="00185CD5" w:rsidRDefault="00D353C7" w:rsidP="00457B7B">
            <w:pPr>
              <w:tabs>
                <w:tab w:val="left" w:pos="-1080"/>
                <w:tab w:val="left" w:pos="-720"/>
                <w:tab w:val="left" w:pos="0"/>
                <w:tab w:val="left" w:pos="360"/>
              </w:tabs>
              <w:spacing w:line="240" w:lineRule="exact"/>
              <w:jc w:val="center"/>
              <w:rPr>
                <w:rFonts w:ascii="Calibri" w:hAnsi="Calibri"/>
                <w:szCs w:val="20"/>
              </w:rPr>
            </w:pPr>
            <w:r w:rsidRPr="00185CD5">
              <w:rPr>
                <w:rFonts w:ascii="Calibri" w:hAnsi="Calibri"/>
                <w:b/>
                <w:bCs/>
                <w:szCs w:val="20"/>
              </w:rPr>
              <w:t>Major Revenue Sources</w:t>
            </w:r>
          </w:p>
        </w:tc>
        <w:tc>
          <w:tcPr>
            <w:tcW w:w="8287" w:type="dxa"/>
            <w:gridSpan w:val="6"/>
            <w:tcBorders>
              <w:top w:val="double" w:sz="4" w:space="0" w:color="auto"/>
              <w:bottom w:val="nil"/>
            </w:tcBorders>
          </w:tcPr>
          <w:p w:rsidR="00D353C7" w:rsidRPr="00185CD5" w:rsidRDefault="00D353C7" w:rsidP="00457B7B">
            <w:pPr>
              <w:spacing w:line="120" w:lineRule="exact"/>
              <w:rPr>
                <w:rFonts w:ascii="Calibri" w:hAnsi="Calibri"/>
                <w:szCs w:val="20"/>
              </w:rPr>
            </w:pPr>
          </w:p>
          <w:p w:rsidR="00D353C7" w:rsidRPr="00185CD5" w:rsidRDefault="00D353C7" w:rsidP="00457B7B">
            <w:pPr>
              <w:tabs>
                <w:tab w:val="left" w:pos="-1080"/>
                <w:tab w:val="left" w:pos="-720"/>
                <w:tab w:val="left" w:pos="0"/>
                <w:tab w:val="left" w:pos="360"/>
              </w:tabs>
              <w:spacing w:after="58"/>
              <w:jc w:val="center"/>
              <w:rPr>
                <w:rFonts w:ascii="Calibri" w:hAnsi="Calibri"/>
                <w:szCs w:val="20"/>
              </w:rPr>
            </w:pPr>
            <w:r w:rsidRPr="00185CD5">
              <w:rPr>
                <w:rFonts w:ascii="Calibri" w:hAnsi="Calibri"/>
                <w:b/>
                <w:bCs/>
                <w:szCs w:val="20"/>
              </w:rPr>
              <w:t>Time Period</w:t>
            </w:r>
          </w:p>
        </w:tc>
      </w:tr>
      <w:tr w:rsidR="009D0CDE" w:rsidRPr="009B4D64" w:rsidTr="00F9056B">
        <w:tc>
          <w:tcPr>
            <w:tcW w:w="1189" w:type="dxa"/>
            <w:vMerge/>
            <w:tcBorders>
              <w:top w:val="nil"/>
              <w:bottom w:val="single" w:sz="4" w:space="0" w:color="auto"/>
            </w:tcBorders>
            <w:tcMar>
              <w:left w:w="58" w:type="dxa"/>
              <w:right w:w="58" w:type="dxa"/>
            </w:tcMar>
          </w:tcPr>
          <w:p w:rsidR="009D0CDE" w:rsidRPr="00185CD5" w:rsidRDefault="009D0CDE" w:rsidP="00457B7B">
            <w:pPr>
              <w:tabs>
                <w:tab w:val="left" w:pos="-1080"/>
                <w:tab w:val="left" w:pos="-720"/>
                <w:tab w:val="left" w:pos="0"/>
                <w:tab w:val="left" w:pos="360"/>
              </w:tabs>
              <w:spacing w:after="58"/>
              <w:rPr>
                <w:rFonts w:ascii="Calibri" w:hAnsi="Calibri"/>
                <w:szCs w:val="20"/>
              </w:rPr>
            </w:pPr>
          </w:p>
        </w:tc>
        <w:tc>
          <w:tcPr>
            <w:tcW w:w="1123" w:type="dxa"/>
            <w:tcBorders>
              <w:top w:val="nil"/>
              <w:bottom w:val="single" w:sz="4" w:space="0" w:color="auto"/>
            </w:tcBorders>
            <w:vAlign w:val="bottom"/>
          </w:tcPr>
          <w:p w:rsidR="009D0CDE" w:rsidRPr="00185CD5" w:rsidRDefault="009D0CDE" w:rsidP="00457B7B">
            <w:pPr>
              <w:spacing w:line="120" w:lineRule="exact"/>
              <w:jc w:val="right"/>
              <w:rPr>
                <w:rFonts w:ascii="Calibri" w:hAnsi="Calibri"/>
                <w:b/>
                <w:bCs/>
                <w:szCs w:val="20"/>
              </w:rPr>
            </w:pPr>
          </w:p>
          <w:p w:rsidR="009D0CDE" w:rsidRPr="00185CD5" w:rsidRDefault="009D0CDE" w:rsidP="00457B7B">
            <w:pPr>
              <w:tabs>
                <w:tab w:val="left" w:pos="-1080"/>
                <w:tab w:val="left" w:pos="-720"/>
                <w:tab w:val="left" w:pos="0"/>
                <w:tab w:val="left" w:pos="360"/>
              </w:tabs>
              <w:spacing w:after="58"/>
              <w:jc w:val="right"/>
              <w:rPr>
                <w:rFonts w:ascii="Calibri" w:hAnsi="Calibri"/>
                <w:b/>
                <w:bCs/>
                <w:szCs w:val="20"/>
              </w:rPr>
            </w:pPr>
            <w:r w:rsidRPr="00185CD5">
              <w:rPr>
                <w:rFonts w:ascii="Calibri" w:hAnsi="Calibri"/>
                <w:b/>
                <w:bCs/>
                <w:szCs w:val="20"/>
              </w:rPr>
              <w:t>2014-15</w:t>
            </w:r>
            <w:r w:rsidRPr="00185CD5">
              <w:rPr>
                <w:rFonts w:ascii="Calibri" w:hAnsi="Calibri"/>
                <w:b/>
                <w:bCs/>
                <w:szCs w:val="20"/>
                <w:vertAlign w:val="superscript"/>
              </w:rPr>
              <w:t>1</w:t>
            </w:r>
          </w:p>
        </w:tc>
        <w:tc>
          <w:tcPr>
            <w:tcW w:w="1436" w:type="dxa"/>
            <w:tcBorders>
              <w:top w:val="nil"/>
              <w:bottom w:val="single" w:sz="4" w:space="0" w:color="auto"/>
            </w:tcBorders>
            <w:vAlign w:val="bottom"/>
          </w:tcPr>
          <w:p w:rsidR="009D0CDE" w:rsidRPr="00185CD5" w:rsidRDefault="009D0CDE" w:rsidP="00457B7B">
            <w:pPr>
              <w:spacing w:line="120" w:lineRule="exact"/>
              <w:jc w:val="right"/>
              <w:rPr>
                <w:rFonts w:ascii="Calibri" w:hAnsi="Calibri"/>
                <w:b/>
                <w:bCs/>
                <w:szCs w:val="20"/>
              </w:rPr>
            </w:pPr>
          </w:p>
          <w:p w:rsidR="009D0CDE" w:rsidRPr="00185CD5" w:rsidRDefault="009D0CDE" w:rsidP="00457B7B">
            <w:pPr>
              <w:tabs>
                <w:tab w:val="left" w:pos="-1080"/>
                <w:tab w:val="left" w:pos="-720"/>
                <w:tab w:val="left" w:pos="0"/>
                <w:tab w:val="left" w:pos="360"/>
              </w:tabs>
              <w:spacing w:after="58"/>
              <w:jc w:val="right"/>
              <w:rPr>
                <w:rFonts w:ascii="Calibri" w:hAnsi="Calibri"/>
                <w:b/>
                <w:bCs/>
                <w:szCs w:val="20"/>
              </w:rPr>
            </w:pPr>
            <w:r w:rsidRPr="00185CD5">
              <w:rPr>
                <w:rFonts w:ascii="Calibri" w:hAnsi="Calibri"/>
                <w:b/>
                <w:bCs/>
                <w:szCs w:val="20"/>
              </w:rPr>
              <w:t>2016-20</w:t>
            </w:r>
            <w:r w:rsidRPr="00185CD5">
              <w:rPr>
                <w:rFonts w:ascii="Calibri" w:hAnsi="Calibri"/>
                <w:b/>
                <w:bCs/>
                <w:szCs w:val="20"/>
                <w:vertAlign w:val="superscript"/>
              </w:rPr>
              <w:t>1</w:t>
            </w:r>
          </w:p>
        </w:tc>
        <w:tc>
          <w:tcPr>
            <w:tcW w:w="1350" w:type="dxa"/>
            <w:tcBorders>
              <w:top w:val="nil"/>
              <w:bottom w:val="single" w:sz="4" w:space="0" w:color="auto"/>
            </w:tcBorders>
            <w:vAlign w:val="bottom"/>
          </w:tcPr>
          <w:p w:rsidR="009D0CDE" w:rsidRPr="00185CD5" w:rsidRDefault="009D0CDE" w:rsidP="00B75315">
            <w:pPr>
              <w:spacing w:line="120" w:lineRule="exact"/>
              <w:jc w:val="right"/>
              <w:rPr>
                <w:rFonts w:ascii="Calibri" w:hAnsi="Calibri"/>
                <w:b/>
                <w:bCs/>
                <w:szCs w:val="20"/>
              </w:rPr>
            </w:pPr>
          </w:p>
          <w:p w:rsidR="009D0CDE" w:rsidRPr="00185CD5" w:rsidRDefault="009D0CDE" w:rsidP="00B75315">
            <w:pPr>
              <w:tabs>
                <w:tab w:val="left" w:pos="-1080"/>
                <w:tab w:val="left" w:pos="-720"/>
                <w:tab w:val="left" w:pos="0"/>
                <w:tab w:val="left" w:pos="360"/>
              </w:tabs>
              <w:spacing w:after="58"/>
              <w:jc w:val="right"/>
              <w:rPr>
                <w:rFonts w:ascii="Calibri" w:hAnsi="Calibri"/>
                <w:b/>
                <w:bCs/>
                <w:szCs w:val="20"/>
              </w:rPr>
            </w:pPr>
            <w:r w:rsidRPr="00185CD5">
              <w:rPr>
                <w:rFonts w:ascii="Calibri" w:hAnsi="Calibri"/>
                <w:b/>
                <w:bCs/>
                <w:szCs w:val="20"/>
              </w:rPr>
              <w:t>2021-25</w:t>
            </w:r>
          </w:p>
        </w:tc>
        <w:tc>
          <w:tcPr>
            <w:tcW w:w="1350" w:type="dxa"/>
            <w:tcBorders>
              <w:top w:val="nil"/>
              <w:bottom w:val="single" w:sz="4" w:space="0" w:color="auto"/>
            </w:tcBorders>
            <w:vAlign w:val="bottom"/>
          </w:tcPr>
          <w:p w:rsidR="009D0CDE" w:rsidRPr="00185CD5" w:rsidRDefault="009D0CDE" w:rsidP="00B75315">
            <w:pPr>
              <w:spacing w:line="120" w:lineRule="exact"/>
              <w:jc w:val="right"/>
              <w:rPr>
                <w:rFonts w:ascii="Calibri" w:hAnsi="Calibri"/>
                <w:b/>
                <w:bCs/>
                <w:szCs w:val="20"/>
              </w:rPr>
            </w:pPr>
          </w:p>
          <w:p w:rsidR="009D0CDE" w:rsidRPr="00185CD5" w:rsidRDefault="009D0CDE" w:rsidP="00B75315">
            <w:pPr>
              <w:tabs>
                <w:tab w:val="left" w:pos="-1080"/>
                <w:tab w:val="left" w:pos="-720"/>
                <w:tab w:val="left" w:pos="0"/>
                <w:tab w:val="left" w:pos="360"/>
              </w:tabs>
              <w:spacing w:after="58"/>
              <w:jc w:val="right"/>
              <w:rPr>
                <w:rFonts w:ascii="Calibri" w:hAnsi="Calibri"/>
                <w:b/>
                <w:bCs/>
                <w:szCs w:val="20"/>
              </w:rPr>
            </w:pPr>
            <w:r w:rsidRPr="00185CD5">
              <w:rPr>
                <w:rFonts w:ascii="Calibri" w:hAnsi="Calibri"/>
                <w:b/>
                <w:bCs/>
                <w:szCs w:val="20"/>
              </w:rPr>
              <w:t>2026-30</w:t>
            </w:r>
          </w:p>
        </w:tc>
        <w:tc>
          <w:tcPr>
            <w:tcW w:w="1350" w:type="dxa"/>
            <w:tcBorders>
              <w:top w:val="nil"/>
              <w:bottom w:val="single" w:sz="4" w:space="0" w:color="auto"/>
            </w:tcBorders>
            <w:vAlign w:val="bottom"/>
          </w:tcPr>
          <w:p w:rsidR="009D0CDE" w:rsidRPr="00185CD5" w:rsidRDefault="009D0CDE" w:rsidP="00457B7B">
            <w:pPr>
              <w:spacing w:line="120" w:lineRule="exact"/>
              <w:jc w:val="right"/>
              <w:rPr>
                <w:rFonts w:ascii="Calibri" w:hAnsi="Calibri"/>
                <w:b/>
                <w:bCs/>
                <w:szCs w:val="20"/>
              </w:rPr>
            </w:pPr>
          </w:p>
          <w:p w:rsidR="009D0CDE" w:rsidRPr="00185CD5" w:rsidRDefault="009D0CDE" w:rsidP="00457B7B">
            <w:pPr>
              <w:tabs>
                <w:tab w:val="left" w:pos="-1080"/>
                <w:tab w:val="left" w:pos="-720"/>
                <w:tab w:val="left" w:pos="0"/>
                <w:tab w:val="left" w:pos="360"/>
              </w:tabs>
              <w:spacing w:after="58"/>
              <w:jc w:val="right"/>
              <w:rPr>
                <w:rFonts w:ascii="Calibri" w:hAnsi="Calibri"/>
                <w:b/>
                <w:bCs/>
                <w:szCs w:val="20"/>
              </w:rPr>
            </w:pPr>
            <w:r w:rsidRPr="00185CD5">
              <w:rPr>
                <w:rFonts w:ascii="Calibri" w:hAnsi="Calibri"/>
                <w:b/>
                <w:bCs/>
                <w:szCs w:val="20"/>
              </w:rPr>
              <w:t>2031-40</w:t>
            </w:r>
          </w:p>
        </w:tc>
        <w:tc>
          <w:tcPr>
            <w:tcW w:w="1678" w:type="dxa"/>
            <w:tcBorders>
              <w:top w:val="nil"/>
              <w:bottom w:val="single" w:sz="4" w:space="0" w:color="auto"/>
            </w:tcBorders>
            <w:tcMar>
              <w:right w:w="115" w:type="dxa"/>
            </w:tcMar>
            <w:vAlign w:val="bottom"/>
          </w:tcPr>
          <w:p w:rsidR="009D0CDE" w:rsidRPr="00185CD5" w:rsidRDefault="009D0CDE" w:rsidP="00457B7B">
            <w:pPr>
              <w:spacing w:line="120" w:lineRule="exact"/>
              <w:jc w:val="right"/>
              <w:rPr>
                <w:rFonts w:ascii="Calibri" w:hAnsi="Calibri"/>
                <w:szCs w:val="20"/>
              </w:rPr>
            </w:pPr>
          </w:p>
          <w:p w:rsidR="009D0CDE" w:rsidRPr="00185CD5" w:rsidRDefault="009D0CDE" w:rsidP="00457B7B">
            <w:pPr>
              <w:tabs>
                <w:tab w:val="left" w:pos="-1080"/>
                <w:tab w:val="left" w:pos="-720"/>
                <w:tab w:val="left" w:pos="0"/>
                <w:tab w:val="left" w:pos="360"/>
              </w:tabs>
              <w:jc w:val="right"/>
              <w:rPr>
                <w:rFonts w:ascii="Calibri" w:hAnsi="Calibri"/>
                <w:b/>
                <w:bCs/>
                <w:szCs w:val="20"/>
              </w:rPr>
            </w:pPr>
            <w:r w:rsidRPr="00185CD5">
              <w:rPr>
                <w:rFonts w:ascii="Calibri" w:hAnsi="Calibri"/>
                <w:b/>
                <w:bCs/>
                <w:szCs w:val="20"/>
              </w:rPr>
              <w:t>27-Year Total</w:t>
            </w:r>
            <w:r w:rsidRPr="00185CD5">
              <w:rPr>
                <w:rFonts w:ascii="Calibri" w:hAnsi="Calibri"/>
                <w:szCs w:val="20"/>
                <w:vertAlign w:val="superscript"/>
              </w:rPr>
              <w:t>2</w:t>
            </w:r>
            <w:r w:rsidRPr="00185CD5">
              <w:rPr>
                <w:rFonts w:ascii="Calibri" w:hAnsi="Calibri"/>
                <w:b/>
                <w:bCs/>
                <w:szCs w:val="20"/>
              </w:rPr>
              <w:t xml:space="preserve"> </w:t>
            </w:r>
          </w:p>
          <w:p w:rsidR="009D0CDE" w:rsidRPr="00185CD5" w:rsidRDefault="009D0CDE" w:rsidP="00457B7B">
            <w:pPr>
              <w:tabs>
                <w:tab w:val="left" w:pos="-1080"/>
                <w:tab w:val="left" w:pos="-720"/>
                <w:tab w:val="left" w:pos="0"/>
                <w:tab w:val="left" w:pos="360"/>
              </w:tabs>
              <w:spacing w:after="58"/>
              <w:jc w:val="right"/>
              <w:rPr>
                <w:rFonts w:ascii="Calibri" w:hAnsi="Calibri"/>
                <w:szCs w:val="20"/>
              </w:rPr>
            </w:pPr>
            <w:r w:rsidRPr="00185CD5">
              <w:rPr>
                <w:rFonts w:ascii="Calibri" w:hAnsi="Calibri"/>
                <w:b/>
                <w:bCs/>
                <w:szCs w:val="20"/>
              </w:rPr>
              <w:t>2014-2040</w:t>
            </w:r>
          </w:p>
        </w:tc>
      </w:tr>
      <w:tr w:rsidR="009D0CDE" w:rsidRPr="009B4D64" w:rsidTr="00F9056B">
        <w:trPr>
          <w:trHeight w:val="432"/>
        </w:trPr>
        <w:tc>
          <w:tcPr>
            <w:tcW w:w="1189" w:type="dxa"/>
            <w:vMerge w:val="restart"/>
            <w:tcBorders>
              <w:top w:val="single" w:sz="4" w:space="0" w:color="auto"/>
            </w:tcBorders>
            <w:tcMar>
              <w:left w:w="58" w:type="dxa"/>
              <w:right w:w="58" w:type="dxa"/>
            </w:tcMar>
            <w:vAlign w:val="center"/>
          </w:tcPr>
          <w:p w:rsidR="009D0CDE" w:rsidRPr="00185CD5" w:rsidRDefault="009D0CDE" w:rsidP="0090212F">
            <w:pPr>
              <w:spacing w:line="120" w:lineRule="exact"/>
              <w:rPr>
                <w:rFonts w:ascii="Calibri" w:hAnsi="Calibri"/>
                <w:szCs w:val="20"/>
              </w:rPr>
            </w:pPr>
          </w:p>
          <w:p w:rsidR="009D0CDE" w:rsidRPr="00185CD5" w:rsidRDefault="009D0CDE" w:rsidP="0090212F">
            <w:pPr>
              <w:tabs>
                <w:tab w:val="left" w:pos="-1080"/>
                <w:tab w:val="left" w:pos="-720"/>
                <w:tab w:val="left" w:pos="0"/>
                <w:tab w:val="left" w:pos="360"/>
              </w:tabs>
              <w:spacing w:after="58"/>
              <w:rPr>
                <w:rFonts w:ascii="Calibri" w:hAnsi="Calibri"/>
                <w:szCs w:val="20"/>
              </w:rPr>
            </w:pPr>
            <w:r w:rsidRPr="00185CD5">
              <w:rPr>
                <w:rFonts w:ascii="Calibri" w:hAnsi="Calibri"/>
                <w:szCs w:val="20"/>
              </w:rPr>
              <w:t>Federal</w:t>
            </w:r>
          </w:p>
        </w:tc>
        <w:tc>
          <w:tcPr>
            <w:tcW w:w="1123" w:type="dxa"/>
            <w:tcBorders>
              <w:top w:val="single" w:sz="4" w:space="0" w:color="auto"/>
            </w:tcBorders>
            <w:vAlign w:val="bottom"/>
          </w:tcPr>
          <w:p w:rsidR="009D0CDE" w:rsidRPr="00F9056B" w:rsidRDefault="009D0CDE">
            <w:pPr>
              <w:jc w:val="right"/>
              <w:rPr>
                <w:rFonts w:ascii="Calibri" w:hAnsi="Calibri" w:cs="Calibri"/>
                <w:szCs w:val="20"/>
              </w:rPr>
            </w:pPr>
            <w:r w:rsidRPr="00F9056B">
              <w:rPr>
                <w:rFonts w:ascii="Calibri" w:hAnsi="Calibri" w:cs="Calibri"/>
                <w:szCs w:val="20"/>
              </w:rPr>
              <w:t>5,113</w:t>
            </w:r>
          </w:p>
        </w:tc>
        <w:tc>
          <w:tcPr>
            <w:tcW w:w="1436" w:type="dxa"/>
            <w:tcBorders>
              <w:top w:val="single" w:sz="4" w:space="0" w:color="auto"/>
            </w:tcBorders>
            <w:vAlign w:val="bottom"/>
          </w:tcPr>
          <w:p w:rsidR="009D0CDE" w:rsidRPr="00F9056B" w:rsidRDefault="009D0CDE">
            <w:pPr>
              <w:jc w:val="right"/>
              <w:rPr>
                <w:rFonts w:ascii="Calibri" w:hAnsi="Calibri" w:cs="Calibri"/>
                <w:szCs w:val="20"/>
              </w:rPr>
            </w:pPr>
            <w:r w:rsidRPr="00F9056B">
              <w:rPr>
                <w:rFonts w:ascii="Calibri" w:hAnsi="Calibri" w:cs="Calibri"/>
                <w:szCs w:val="20"/>
              </w:rPr>
              <w:t>9,542</w:t>
            </w:r>
          </w:p>
        </w:tc>
        <w:tc>
          <w:tcPr>
            <w:tcW w:w="1350" w:type="dxa"/>
            <w:tcBorders>
              <w:top w:val="single" w:sz="4" w:space="0" w:color="auto"/>
            </w:tcBorders>
            <w:vAlign w:val="bottom"/>
          </w:tcPr>
          <w:p w:rsidR="009D0CDE" w:rsidRPr="00F9056B" w:rsidRDefault="009D0CDE">
            <w:pPr>
              <w:jc w:val="right"/>
              <w:rPr>
                <w:rFonts w:ascii="Calibri" w:hAnsi="Calibri" w:cs="Calibri"/>
                <w:szCs w:val="20"/>
              </w:rPr>
            </w:pPr>
            <w:r w:rsidRPr="00F9056B">
              <w:rPr>
                <w:rFonts w:ascii="Calibri" w:hAnsi="Calibri" w:cs="Calibri"/>
                <w:szCs w:val="20"/>
              </w:rPr>
              <w:t>9,687</w:t>
            </w:r>
          </w:p>
        </w:tc>
        <w:tc>
          <w:tcPr>
            <w:tcW w:w="1350" w:type="dxa"/>
            <w:tcBorders>
              <w:top w:val="single" w:sz="4" w:space="0" w:color="auto"/>
            </w:tcBorders>
            <w:vAlign w:val="bottom"/>
          </w:tcPr>
          <w:p w:rsidR="009D0CDE" w:rsidRPr="00F9056B" w:rsidRDefault="009D0CDE">
            <w:pPr>
              <w:jc w:val="right"/>
              <w:rPr>
                <w:rFonts w:ascii="Calibri" w:hAnsi="Calibri" w:cs="Calibri"/>
                <w:szCs w:val="20"/>
              </w:rPr>
            </w:pPr>
            <w:r w:rsidRPr="00F9056B">
              <w:rPr>
                <w:rFonts w:ascii="Calibri" w:hAnsi="Calibri" w:cs="Calibri"/>
                <w:szCs w:val="20"/>
              </w:rPr>
              <w:t>9,719</w:t>
            </w:r>
          </w:p>
        </w:tc>
        <w:tc>
          <w:tcPr>
            <w:tcW w:w="1350" w:type="dxa"/>
            <w:tcBorders>
              <w:top w:val="single" w:sz="4" w:space="0" w:color="auto"/>
            </w:tcBorders>
            <w:vAlign w:val="bottom"/>
          </w:tcPr>
          <w:p w:rsidR="009D0CDE" w:rsidRPr="00F9056B" w:rsidRDefault="009D0CDE">
            <w:pPr>
              <w:jc w:val="right"/>
              <w:rPr>
                <w:rFonts w:ascii="Calibri" w:hAnsi="Calibri" w:cs="Calibri"/>
                <w:szCs w:val="20"/>
              </w:rPr>
            </w:pPr>
            <w:r w:rsidRPr="00F9056B">
              <w:rPr>
                <w:rFonts w:ascii="Calibri" w:hAnsi="Calibri" w:cs="Calibri"/>
                <w:szCs w:val="20"/>
              </w:rPr>
              <w:t>19,328</w:t>
            </w:r>
          </w:p>
        </w:tc>
        <w:tc>
          <w:tcPr>
            <w:tcW w:w="1678" w:type="dxa"/>
            <w:tcBorders>
              <w:top w:val="single" w:sz="4" w:space="0" w:color="auto"/>
            </w:tcBorders>
            <w:tcMar>
              <w:right w:w="115" w:type="dxa"/>
            </w:tcMar>
            <w:vAlign w:val="bottom"/>
          </w:tcPr>
          <w:p w:rsidR="009D0CDE" w:rsidRPr="00F9056B" w:rsidRDefault="009D0CDE">
            <w:pPr>
              <w:jc w:val="right"/>
              <w:rPr>
                <w:rFonts w:ascii="Calibri" w:hAnsi="Calibri" w:cs="Calibri"/>
                <w:szCs w:val="20"/>
              </w:rPr>
            </w:pPr>
            <w:r w:rsidRPr="00F9056B">
              <w:rPr>
                <w:rFonts w:ascii="Calibri" w:hAnsi="Calibri" w:cs="Calibri"/>
                <w:szCs w:val="20"/>
              </w:rPr>
              <w:t>53,389</w:t>
            </w:r>
          </w:p>
        </w:tc>
      </w:tr>
      <w:tr w:rsidR="009D0CDE" w:rsidRPr="009B4D64" w:rsidTr="00F9056B">
        <w:trPr>
          <w:trHeight w:val="144"/>
        </w:trPr>
        <w:tc>
          <w:tcPr>
            <w:tcW w:w="1189" w:type="dxa"/>
            <w:vMerge/>
            <w:tcMar>
              <w:left w:w="58" w:type="dxa"/>
              <w:right w:w="58" w:type="dxa"/>
            </w:tcMar>
            <w:vAlign w:val="center"/>
          </w:tcPr>
          <w:p w:rsidR="009D0CDE" w:rsidRPr="00185CD5" w:rsidRDefault="009D0CDE" w:rsidP="0090212F">
            <w:pPr>
              <w:spacing w:line="120" w:lineRule="exact"/>
              <w:rPr>
                <w:rFonts w:ascii="Calibri" w:hAnsi="Calibri"/>
                <w:szCs w:val="20"/>
              </w:rPr>
            </w:pPr>
          </w:p>
        </w:tc>
        <w:tc>
          <w:tcPr>
            <w:tcW w:w="1123"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31%</w:t>
            </w:r>
          </w:p>
        </w:tc>
        <w:tc>
          <w:tcPr>
            <w:tcW w:w="1436"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27%</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26%</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24%</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22%</w:t>
            </w:r>
          </w:p>
        </w:tc>
        <w:tc>
          <w:tcPr>
            <w:tcW w:w="1678" w:type="dxa"/>
            <w:tcMar>
              <w:right w:w="115" w:type="dxa"/>
            </w:tcMar>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25%</w:t>
            </w:r>
          </w:p>
        </w:tc>
      </w:tr>
      <w:tr w:rsidR="009D0CDE" w:rsidRPr="009B4D64" w:rsidTr="00F9056B">
        <w:trPr>
          <w:trHeight w:val="432"/>
        </w:trPr>
        <w:tc>
          <w:tcPr>
            <w:tcW w:w="1189" w:type="dxa"/>
            <w:vMerge w:val="restart"/>
            <w:tcMar>
              <w:left w:w="58" w:type="dxa"/>
              <w:right w:w="58" w:type="dxa"/>
            </w:tcMar>
            <w:vAlign w:val="center"/>
          </w:tcPr>
          <w:p w:rsidR="009D0CDE" w:rsidRPr="00185CD5" w:rsidRDefault="009D0CDE" w:rsidP="0090212F">
            <w:pPr>
              <w:spacing w:line="120" w:lineRule="exact"/>
              <w:rPr>
                <w:rFonts w:ascii="Calibri" w:hAnsi="Calibri"/>
                <w:szCs w:val="20"/>
              </w:rPr>
            </w:pPr>
          </w:p>
          <w:p w:rsidR="009D0CDE" w:rsidRPr="00185CD5" w:rsidRDefault="009D0CDE" w:rsidP="0090212F">
            <w:pPr>
              <w:tabs>
                <w:tab w:val="left" w:pos="-1080"/>
                <w:tab w:val="left" w:pos="-720"/>
                <w:tab w:val="left" w:pos="0"/>
                <w:tab w:val="left" w:pos="360"/>
              </w:tabs>
              <w:spacing w:after="58"/>
              <w:rPr>
                <w:rFonts w:ascii="Calibri" w:hAnsi="Calibri"/>
                <w:szCs w:val="20"/>
              </w:rPr>
            </w:pPr>
            <w:r w:rsidRPr="00185CD5">
              <w:rPr>
                <w:rFonts w:ascii="Calibri" w:hAnsi="Calibri"/>
                <w:szCs w:val="20"/>
              </w:rPr>
              <w:t>State</w:t>
            </w:r>
          </w:p>
        </w:tc>
        <w:tc>
          <w:tcPr>
            <w:tcW w:w="1123" w:type="dxa"/>
            <w:vAlign w:val="bottom"/>
          </w:tcPr>
          <w:p w:rsidR="009D0CDE" w:rsidRPr="00F9056B" w:rsidRDefault="009D0CDE">
            <w:pPr>
              <w:jc w:val="right"/>
              <w:rPr>
                <w:rFonts w:ascii="Calibri" w:hAnsi="Calibri" w:cs="Calibri"/>
                <w:szCs w:val="20"/>
              </w:rPr>
            </w:pPr>
            <w:r w:rsidRPr="00F9056B">
              <w:rPr>
                <w:rFonts w:ascii="Calibri" w:hAnsi="Calibri" w:cs="Calibri"/>
                <w:szCs w:val="20"/>
              </w:rPr>
              <w:t>9,711</w:t>
            </w:r>
          </w:p>
        </w:tc>
        <w:tc>
          <w:tcPr>
            <w:tcW w:w="1436" w:type="dxa"/>
            <w:vAlign w:val="bottom"/>
          </w:tcPr>
          <w:p w:rsidR="009D0CDE" w:rsidRPr="00F9056B" w:rsidRDefault="009D0CDE">
            <w:pPr>
              <w:jc w:val="right"/>
              <w:rPr>
                <w:rFonts w:ascii="Calibri" w:hAnsi="Calibri" w:cs="Calibri"/>
                <w:szCs w:val="20"/>
              </w:rPr>
            </w:pPr>
            <w:r w:rsidRPr="00F9056B">
              <w:rPr>
                <w:rFonts w:ascii="Calibri" w:hAnsi="Calibri" w:cs="Calibri"/>
                <w:szCs w:val="20"/>
              </w:rPr>
              <w:t>22,243</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25,084</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27,616</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60,776</w:t>
            </w:r>
          </w:p>
        </w:tc>
        <w:tc>
          <w:tcPr>
            <w:tcW w:w="1678" w:type="dxa"/>
            <w:tcMar>
              <w:right w:w="115" w:type="dxa"/>
            </w:tcMar>
            <w:vAlign w:val="bottom"/>
          </w:tcPr>
          <w:p w:rsidR="009D0CDE" w:rsidRPr="00F9056B" w:rsidRDefault="009D0CDE">
            <w:pPr>
              <w:jc w:val="right"/>
              <w:rPr>
                <w:rFonts w:ascii="Calibri" w:hAnsi="Calibri" w:cs="Calibri"/>
                <w:szCs w:val="20"/>
              </w:rPr>
            </w:pPr>
            <w:r w:rsidRPr="00F9056B">
              <w:rPr>
                <w:rFonts w:ascii="Calibri" w:hAnsi="Calibri" w:cs="Calibri"/>
                <w:szCs w:val="20"/>
              </w:rPr>
              <w:t>145,430</w:t>
            </w:r>
          </w:p>
        </w:tc>
      </w:tr>
      <w:tr w:rsidR="009D0CDE" w:rsidRPr="009B4D64" w:rsidTr="00F9056B">
        <w:trPr>
          <w:trHeight w:val="144"/>
        </w:trPr>
        <w:tc>
          <w:tcPr>
            <w:tcW w:w="1189" w:type="dxa"/>
            <w:vMerge/>
            <w:tcMar>
              <w:left w:w="58" w:type="dxa"/>
              <w:right w:w="58" w:type="dxa"/>
            </w:tcMar>
            <w:vAlign w:val="center"/>
          </w:tcPr>
          <w:p w:rsidR="009D0CDE" w:rsidRPr="00185CD5" w:rsidRDefault="009D0CDE" w:rsidP="0090212F">
            <w:pPr>
              <w:spacing w:line="120" w:lineRule="exact"/>
              <w:rPr>
                <w:rFonts w:ascii="Calibri" w:hAnsi="Calibri"/>
                <w:szCs w:val="20"/>
              </w:rPr>
            </w:pPr>
          </w:p>
        </w:tc>
        <w:tc>
          <w:tcPr>
            <w:tcW w:w="1123"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59%</w:t>
            </w:r>
          </w:p>
        </w:tc>
        <w:tc>
          <w:tcPr>
            <w:tcW w:w="1436"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64%</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67%</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69%</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70%</w:t>
            </w:r>
          </w:p>
        </w:tc>
        <w:tc>
          <w:tcPr>
            <w:tcW w:w="1678" w:type="dxa"/>
            <w:tcMar>
              <w:right w:w="115" w:type="dxa"/>
            </w:tcMar>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67%</w:t>
            </w:r>
          </w:p>
        </w:tc>
      </w:tr>
      <w:tr w:rsidR="009D0CDE" w:rsidRPr="009B4D64" w:rsidTr="00F9056B">
        <w:trPr>
          <w:trHeight w:val="432"/>
        </w:trPr>
        <w:tc>
          <w:tcPr>
            <w:tcW w:w="1189" w:type="dxa"/>
            <w:vMerge w:val="restart"/>
            <w:tcMar>
              <w:left w:w="58" w:type="dxa"/>
              <w:right w:w="58" w:type="dxa"/>
            </w:tcMar>
            <w:vAlign w:val="center"/>
          </w:tcPr>
          <w:p w:rsidR="009D0CDE" w:rsidRPr="00185CD5" w:rsidRDefault="009D0CDE" w:rsidP="0090212F">
            <w:pPr>
              <w:spacing w:line="120" w:lineRule="exact"/>
              <w:rPr>
                <w:rFonts w:ascii="Calibri" w:hAnsi="Calibri"/>
                <w:szCs w:val="20"/>
              </w:rPr>
            </w:pPr>
          </w:p>
          <w:p w:rsidR="009D0CDE" w:rsidRPr="00185CD5" w:rsidRDefault="009D0CDE" w:rsidP="0090212F">
            <w:pPr>
              <w:tabs>
                <w:tab w:val="left" w:pos="-1080"/>
                <w:tab w:val="left" w:pos="-720"/>
                <w:tab w:val="left" w:pos="0"/>
                <w:tab w:val="left" w:pos="360"/>
              </w:tabs>
              <w:spacing w:after="58"/>
              <w:rPr>
                <w:rFonts w:ascii="Calibri" w:hAnsi="Calibri"/>
                <w:szCs w:val="20"/>
              </w:rPr>
            </w:pPr>
            <w:r w:rsidRPr="00185CD5">
              <w:rPr>
                <w:rFonts w:ascii="Calibri" w:hAnsi="Calibri"/>
                <w:szCs w:val="20"/>
              </w:rPr>
              <w:t>Turnpike</w:t>
            </w:r>
          </w:p>
        </w:tc>
        <w:tc>
          <w:tcPr>
            <w:tcW w:w="1123" w:type="dxa"/>
            <w:vAlign w:val="bottom"/>
          </w:tcPr>
          <w:p w:rsidR="009D0CDE" w:rsidRPr="00F9056B" w:rsidRDefault="009D0CDE">
            <w:pPr>
              <w:jc w:val="right"/>
              <w:rPr>
                <w:rFonts w:ascii="Calibri" w:hAnsi="Calibri" w:cs="Calibri"/>
                <w:szCs w:val="20"/>
              </w:rPr>
            </w:pPr>
            <w:r w:rsidRPr="00F9056B">
              <w:rPr>
                <w:rFonts w:ascii="Calibri" w:hAnsi="Calibri" w:cs="Calibri"/>
                <w:szCs w:val="20"/>
              </w:rPr>
              <w:t>1,680</w:t>
            </w:r>
          </w:p>
        </w:tc>
        <w:tc>
          <w:tcPr>
            <w:tcW w:w="1436" w:type="dxa"/>
            <w:vAlign w:val="bottom"/>
          </w:tcPr>
          <w:p w:rsidR="009D0CDE" w:rsidRPr="00F9056B" w:rsidRDefault="009D0CDE">
            <w:pPr>
              <w:jc w:val="right"/>
              <w:rPr>
                <w:rFonts w:ascii="Calibri" w:hAnsi="Calibri" w:cs="Calibri"/>
                <w:szCs w:val="20"/>
              </w:rPr>
            </w:pPr>
            <w:r w:rsidRPr="00F9056B">
              <w:rPr>
                <w:rFonts w:ascii="Calibri" w:hAnsi="Calibri" w:cs="Calibri"/>
                <w:szCs w:val="20"/>
              </w:rPr>
              <w:t>3,044</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2,745</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2,931</w:t>
            </w:r>
          </w:p>
        </w:tc>
        <w:tc>
          <w:tcPr>
            <w:tcW w:w="1350" w:type="dxa"/>
            <w:vAlign w:val="bottom"/>
          </w:tcPr>
          <w:p w:rsidR="009D0CDE" w:rsidRPr="00F9056B" w:rsidRDefault="009D0CDE">
            <w:pPr>
              <w:jc w:val="right"/>
              <w:rPr>
                <w:rFonts w:ascii="Calibri" w:hAnsi="Calibri" w:cs="Calibri"/>
                <w:szCs w:val="20"/>
              </w:rPr>
            </w:pPr>
            <w:r w:rsidRPr="00F9056B">
              <w:rPr>
                <w:rFonts w:ascii="Calibri" w:hAnsi="Calibri" w:cs="Calibri"/>
                <w:szCs w:val="20"/>
              </w:rPr>
              <w:t>6,610</w:t>
            </w:r>
          </w:p>
        </w:tc>
        <w:tc>
          <w:tcPr>
            <w:tcW w:w="1678" w:type="dxa"/>
            <w:tcMar>
              <w:right w:w="115" w:type="dxa"/>
            </w:tcMar>
            <w:vAlign w:val="bottom"/>
          </w:tcPr>
          <w:p w:rsidR="009D0CDE" w:rsidRPr="00F9056B" w:rsidRDefault="009D0CDE">
            <w:pPr>
              <w:jc w:val="right"/>
              <w:rPr>
                <w:rFonts w:ascii="Calibri" w:hAnsi="Calibri" w:cs="Calibri"/>
                <w:szCs w:val="20"/>
              </w:rPr>
            </w:pPr>
            <w:r w:rsidRPr="00F9056B">
              <w:rPr>
                <w:rFonts w:ascii="Calibri" w:hAnsi="Calibri" w:cs="Calibri"/>
                <w:szCs w:val="20"/>
              </w:rPr>
              <w:t>17,011</w:t>
            </w:r>
          </w:p>
        </w:tc>
      </w:tr>
      <w:tr w:rsidR="009D0CDE" w:rsidRPr="009B4D64" w:rsidTr="00F9056B">
        <w:trPr>
          <w:trHeight w:val="144"/>
        </w:trPr>
        <w:tc>
          <w:tcPr>
            <w:tcW w:w="1189" w:type="dxa"/>
            <w:vMerge/>
            <w:tcMar>
              <w:left w:w="58" w:type="dxa"/>
              <w:right w:w="58" w:type="dxa"/>
            </w:tcMar>
            <w:vAlign w:val="center"/>
          </w:tcPr>
          <w:p w:rsidR="009D0CDE" w:rsidRPr="00185CD5" w:rsidRDefault="009D0CDE" w:rsidP="00457B7B">
            <w:pPr>
              <w:spacing w:line="120" w:lineRule="exact"/>
              <w:rPr>
                <w:rFonts w:ascii="Calibri" w:hAnsi="Calibri"/>
                <w:szCs w:val="20"/>
              </w:rPr>
            </w:pPr>
          </w:p>
        </w:tc>
        <w:tc>
          <w:tcPr>
            <w:tcW w:w="1123"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10%</w:t>
            </w:r>
          </w:p>
        </w:tc>
        <w:tc>
          <w:tcPr>
            <w:tcW w:w="1436"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9%</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7%</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7%</w:t>
            </w:r>
          </w:p>
        </w:tc>
        <w:tc>
          <w:tcPr>
            <w:tcW w:w="1350" w:type="dxa"/>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8%</w:t>
            </w:r>
          </w:p>
        </w:tc>
        <w:tc>
          <w:tcPr>
            <w:tcW w:w="1678" w:type="dxa"/>
            <w:tcMar>
              <w:right w:w="115" w:type="dxa"/>
            </w:tcMar>
            <w:vAlign w:val="bottom"/>
          </w:tcPr>
          <w:p w:rsidR="009D0CDE" w:rsidRPr="00F9056B" w:rsidRDefault="009D0CDE">
            <w:pPr>
              <w:jc w:val="right"/>
              <w:rPr>
                <w:rFonts w:ascii="Calibri" w:hAnsi="Calibri" w:cs="Calibri"/>
                <w:sz w:val="18"/>
                <w:szCs w:val="18"/>
              </w:rPr>
            </w:pPr>
            <w:r w:rsidRPr="00F9056B">
              <w:rPr>
                <w:rFonts w:ascii="Calibri" w:hAnsi="Calibri" w:cs="Calibri"/>
                <w:sz w:val="18"/>
                <w:szCs w:val="18"/>
              </w:rPr>
              <w:t>8%</w:t>
            </w:r>
          </w:p>
        </w:tc>
      </w:tr>
      <w:tr w:rsidR="009D0CDE" w:rsidRPr="00726007" w:rsidTr="00F9056B">
        <w:tc>
          <w:tcPr>
            <w:tcW w:w="1189" w:type="dxa"/>
            <w:tcBorders>
              <w:bottom w:val="double" w:sz="4" w:space="0" w:color="auto"/>
            </w:tcBorders>
            <w:tcMar>
              <w:left w:w="58" w:type="dxa"/>
              <w:right w:w="58" w:type="dxa"/>
            </w:tcMar>
            <w:vAlign w:val="bottom"/>
          </w:tcPr>
          <w:p w:rsidR="009D0CDE" w:rsidRPr="00185CD5" w:rsidRDefault="009D0CDE" w:rsidP="00457B7B">
            <w:pPr>
              <w:spacing w:line="120" w:lineRule="exact"/>
              <w:rPr>
                <w:rFonts w:ascii="Calibri" w:hAnsi="Calibri"/>
                <w:b/>
                <w:szCs w:val="20"/>
              </w:rPr>
            </w:pPr>
          </w:p>
          <w:p w:rsidR="009D0CDE" w:rsidRPr="00185CD5" w:rsidRDefault="009D0CDE" w:rsidP="00457B7B">
            <w:pPr>
              <w:tabs>
                <w:tab w:val="left" w:pos="-1080"/>
                <w:tab w:val="left" w:pos="-720"/>
                <w:tab w:val="left" w:pos="0"/>
                <w:tab w:val="left" w:pos="360"/>
              </w:tabs>
              <w:spacing w:after="58"/>
              <w:rPr>
                <w:rFonts w:ascii="Calibri" w:hAnsi="Calibri"/>
                <w:b/>
                <w:szCs w:val="20"/>
              </w:rPr>
            </w:pPr>
            <w:r w:rsidRPr="00185CD5">
              <w:rPr>
                <w:rFonts w:ascii="Calibri" w:hAnsi="Calibri"/>
                <w:b/>
                <w:szCs w:val="20"/>
              </w:rPr>
              <w:t>Total</w:t>
            </w:r>
            <w:r w:rsidRPr="00185CD5">
              <w:rPr>
                <w:rFonts w:ascii="Calibri" w:hAnsi="Calibri"/>
                <w:b/>
                <w:szCs w:val="20"/>
                <w:vertAlign w:val="superscript"/>
              </w:rPr>
              <w:t>2</w:t>
            </w:r>
          </w:p>
        </w:tc>
        <w:tc>
          <w:tcPr>
            <w:tcW w:w="1123" w:type="dxa"/>
            <w:tcBorders>
              <w:bottom w:val="double" w:sz="4" w:space="0" w:color="auto"/>
            </w:tcBorders>
            <w:vAlign w:val="bottom"/>
          </w:tcPr>
          <w:p w:rsidR="009D0CDE" w:rsidRPr="00F9056B" w:rsidRDefault="009D0CDE">
            <w:pPr>
              <w:jc w:val="right"/>
              <w:rPr>
                <w:rFonts w:ascii="Calibri" w:hAnsi="Calibri" w:cs="Calibri"/>
                <w:b/>
                <w:szCs w:val="20"/>
              </w:rPr>
            </w:pPr>
            <w:r w:rsidRPr="00F9056B">
              <w:rPr>
                <w:rFonts w:ascii="Calibri" w:hAnsi="Calibri" w:cs="Calibri"/>
                <w:b/>
                <w:szCs w:val="20"/>
              </w:rPr>
              <w:t>16,505</w:t>
            </w:r>
          </w:p>
        </w:tc>
        <w:tc>
          <w:tcPr>
            <w:tcW w:w="1436" w:type="dxa"/>
            <w:tcBorders>
              <w:bottom w:val="double" w:sz="4" w:space="0" w:color="auto"/>
            </w:tcBorders>
            <w:vAlign w:val="bottom"/>
          </w:tcPr>
          <w:p w:rsidR="009D0CDE" w:rsidRPr="00F9056B" w:rsidRDefault="009D0CDE">
            <w:pPr>
              <w:jc w:val="right"/>
              <w:rPr>
                <w:rFonts w:ascii="Calibri" w:hAnsi="Calibri" w:cs="Calibri"/>
                <w:b/>
                <w:szCs w:val="20"/>
              </w:rPr>
            </w:pPr>
            <w:r w:rsidRPr="00F9056B">
              <w:rPr>
                <w:rFonts w:ascii="Calibri" w:hAnsi="Calibri" w:cs="Calibri"/>
                <w:b/>
                <w:szCs w:val="20"/>
              </w:rPr>
              <w:t>34,829</w:t>
            </w:r>
          </w:p>
        </w:tc>
        <w:tc>
          <w:tcPr>
            <w:tcW w:w="1350" w:type="dxa"/>
            <w:tcBorders>
              <w:bottom w:val="double" w:sz="4" w:space="0" w:color="auto"/>
            </w:tcBorders>
            <w:vAlign w:val="bottom"/>
          </w:tcPr>
          <w:p w:rsidR="009D0CDE" w:rsidRPr="00F9056B" w:rsidRDefault="009D0CDE">
            <w:pPr>
              <w:jc w:val="right"/>
              <w:rPr>
                <w:rFonts w:ascii="Calibri" w:hAnsi="Calibri" w:cs="Calibri"/>
                <w:b/>
                <w:szCs w:val="20"/>
              </w:rPr>
            </w:pPr>
            <w:r w:rsidRPr="00F9056B">
              <w:rPr>
                <w:rFonts w:ascii="Calibri" w:hAnsi="Calibri" w:cs="Calibri"/>
                <w:b/>
                <w:szCs w:val="20"/>
              </w:rPr>
              <w:t>37,516</w:t>
            </w:r>
          </w:p>
        </w:tc>
        <w:tc>
          <w:tcPr>
            <w:tcW w:w="1350" w:type="dxa"/>
            <w:tcBorders>
              <w:bottom w:val="double" w:sz="4" w:space="0" w:color="auto"/>
            </w:tcBorders>
            <w:vAlign w:val="bottom"/>
          </w:tcPr>
          <w:p w:rsidR="009D0CDE" w:rsidRPr="00F9056B" w:rsidRDefault="009D0CDE">
            <w:pPr>
              <w:jc w:val="right"/>
              <w:rPr>
                <w:rFonts w:ascii="Calibri" w:hAnsi="Calibri" w:cs="Calibri"/>
                <w:b/>
                <w:szCs w:val="20"/>
              </w:rPr>
            </w:pPr>
            <w:r w:rsidRPr="00F9056B">
              <w:rPr>
                <w:rFonts w:ascii="Calibri" w:hAnsi="Calibri" w:cs="Calibri"/>
                <w:b/>
                <w:szCs w:val="20"/>
              </w:rPr>
              <w:t>40,266</w:t>
            </w:r>
          </w:p>
        </w:tc>
        <w:tc>
          <w:tcPr>
            <w:tcW w:w="1350" w:type="dxa"/>
            <w:tcBorders>
              <w:bottom w:val="double" w:sz="4" w:space="0" w:color="auto"/>
            </w:tcBorders>
            <w:vAlign w:val="bottom"/>
          </w:tcPr>
          <w:p w:rsidR="009D0CDE" w:rsidRPr="00F9056B" w:rsidRDefault="009D0CDE">
            <w:pPr>
              <w:jc w:val="right"/>
              <w:rPr>
                <w:rFonts w:ascii="Calibri" w:hAnsi="Calibri" w:cs="Calibri"/>
                <w:b/>
                <w:szCs w:val="20"/>
              </w:rPr>
            </w:pPr>
            <w:r w:rsidRPr="00F9056B">
              <w:rPr>
                <w:rFonts w:ascii="Calibri" w:hAnsi="Calibri" w:cs="Calibri"/>
                <w:b/>
                <w:szCs w:val="20"/>
              </w:rPr>
              <w:t>86,715</w:t>
            </w:r>
          </w:p>
        </w:tc>
        <w:tc>
          <w:tcPr>
            <w:tcW w:w="1678" w:type="dxa"/>
            <w:tcBorders>
              <w:bottom w:val="double" w:sz="4" w:space="0" w:color="auto"/>
            </w:tcBorders>
            <w:tcMar>
              <w:right w:w="115" w:type="dxa"/>
            </w:tcMar>
            <w:vAlign w:val="bottom"/>
          </w:tcPr>
          <w:p w:rsidR="009D0CDE" w:rsidRPr="00F9056B" w:rsidRDefault="009D0CDE">
            <w:pPr>
              <w:jc w:val="right"/>
              <w:rPr>
                <w:rFonts w:ascii="Calibri" w:hAnsi="Calibri" w:cs="Calibri"/>
                <w:b/>
                <w:szCs w:val="20"/>
              </w:rPr>
            </w:pPr>
            <w:r w:rsidRPr="00F9056B">
              <w:rPr>
                <w:rFonts w:ascii="Calibri" w:hAnsi="Calibri" w:cs="Calibri"/>
                <w:b/>
                <w:szCs w:val="20"/>
              </w:rPr>
              <w:t>215,830</w:t>
            </w:r>
          </w:p>
        </w:tc>
      </w:tr>
    </w:tbl>
    <w:p w:rsidR="00D353C7" w:rsidRPr="009B4D64" w:rsidRDefault="00D353C7" w:rsidP="00D353C7">
      <w:pPr>
        <w:tabs>
          <w:tab w:val="left" w:pos="-1080"/>
          <w:tab w:val="left" w:pos="-720"/>
          <w:tab w:val="left" w:pos="0"/>
          <w:tab w:val="left" w:pos="360"/>
        </w:tabs>
        <w:spacing w:before="120"/>
        <w:rPr>
          <w:rFonts w:ascii="Calibri" w:hAnsi="Calibri"/>
          <w:szCs w:val="20"/>
        </w:rPr>
      </w:pPr>
      <w:r w:rsidRPr="009B4D64">
        <w:rPr>
          <w:rFonts w:ascii="Calibri" w:hAnsi="Calibri"/>
          <w:szCs w:val="20"/>
          <w:vertAlign w:val="superscript"/>
        </w:rPr>
        <w:t>1</w:t>
      </w:r>
      <w:r w:rsidRPr="009B4D64">
        <w:rPr>
          <w:rFonts w:ascii="Calibri" w:hAnsi="Calibri"/>
          <w:szCs w:val="20"/>
        </w:rPr>
        <w:t xml:space="preserve"> Based on the FDOT </w:t>
      </w:r>
      <w:r w:rsidR="0090212F">
        <w:rPr>
          <w:rFonts w:ascii="Calibri" w:hAnsi="Calibri"/>
          <w:szCs w:val="20"/>
        </w:rPr>
        <w:t>Tentative Work Program for 2014 through 2018</w:t>
      </w:r>
      <w:r w:rsidRPr="009B4D64">
        <w:rPr>
          <w:rFonts w:ascii="Calibri" w:hAnsi="Calibri"/>
          <w:szCs w:val="20"/>
        </w:rPr>
        <w:t>.</w:t>
      </w:r>
    </w:p>
    <w:p w:rsidR="00D353C7" w:rsidRPr="009B4D64" w:rsidRDefault="00D353C7" w:rsidP="00D353C7">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Columns and rows sometimes do not equal the totals due to rounding.</w:t>
      </w:r>
    </w:p>
    <w:p w:rsidR="00B15701" w:rsidRPr="009B4D64" w:rsidRDefault="00B15701" w:rsidP="002378AC">
      <w:pPr>
        <w:rPr>
          <w:sz w:val="24"/>
        </w:rPr>
      </w:pPr>
    </w:p>
    <w:p w:rsidR="00366BCF" w:rsidRPr="009B4D64" w:rsidRDefault="007E479C" w:rsidP="002378AC">
      <w:pPr>
        <w:rPr>
          <w:sz w:val="24"/>
          <w:u w:val="single"/>
        </w:rPr>
      </w:pPr>
      <w:r w:rsidRPr="009B4D64">
        <w:rPr>
          <w:sz w:val="24"/>
          <w:u w:val="single"/>
        </w:rPr>
        <w:t>Estimates for State</w:t>
      </w:r>
      <w:r w:rsidR="00F02506" w:rsidRPr="009B4D64">
        <w:rPr>
          <w:sz w:val="24"/>
          <w:u w:val="single"/>
        </w:rPr>
        <w:t xml:space="preserve"> Programs</w:t>
      </w:r>
    </w:p>
    <w:p w:rsidR="00E824E5" w:rsidRPr="009B4D64" w:rsidRDefault="00E824E5" w:rsidP="002378AC">
      <w:pPr>
        <w:rPr>
          <w:sz w:val="24"/>
        </w:rPr>
      </w:pPr>
      <w:r w:rsidRPr="009B4D64">
        <w:rPr>
          <w:sz w:val="24"/>
        </w:rPr>
        <w:t xml:space="preserve">Long range revenue forecasts assist in determining which needed transportation improvements are financially feasible and </w:t>
      </w:r>
      <w:r w:rsidR="000D444B" w:rsidRPr="009B4D64">
        <w:rPr>
          <w:sz w:val="24"/>
        </w:rPr>
        <w:t xml:space="preserve">in </w:t>
      </w:r>
      <w:r w:rsidRPr="009B4D64">
        <w:rPr>
          <w:sz w:val="24"/>
        </w:rPr>
        <w:t>identifying funding priorities.  As directed by FD</w:t>
      </w:r>
      <w:r w:rsidR="00563E30">
        <w:rPr>
          <w:sz w:val="24"/>
        </w:rPr>
        <w:t>OT policy, the Department places</w:t>
      </w:r>
      <w:r w:rsidRPr="009B4D64">
        <w:rPr>
          <w:sz w:val="24"/>
        </w:rPr>
        <w:t xml:space="preserve"> primary emphasis on safety and preservation by first providing adequate funding in the Revenue Forecast to meet established goals and objectives in these important areas.  Remaining funding has been planned for new or expanded statewide, metropolitan/regional, and local facilities and services (i.e., capacity programs).  As </w:t>
      </w:r>
      <w:r w:rsidR="00563E30">
        <w:rPr>
          <w:sz w:val="24"/>
        </w:rPr>
        <w:t>Florida</w:t>
      </w:r>
      <w:r w:rsidRPr="009B4D64">
        <w:rPr>
          <w:sz w:val="24"/>
        </w:rPr>
        <w:t xml:space="preserve"> move</w:t>
      </w:r>
      <w:r w:rsidR="00563E30">
        <w:rPr>
          <w:sz w:val="24"/>
        </w:rPr>
        <w:t>s</w:t>
      </w:r>
      <w:r w:rsidRPr="009B4D64">
        <w:rPr>
          <w:sz w:val="24"/>
        </w:rPr>
        <w:t xml:space="preserve"> </w:t>
      </w:r>
      <w:r w:rsidR="00405FD2">
        <w:rPr>
          <w:sz w:val="24"/>
        </w:rPr>
        <w:t>toward</w:t>
      </w:r>
      <w:r w:rsidR="00405FD2" w:rsidRPr="009B4D64">
        <w:rPr>
          <w:sz w:val="24"/>
        </w:rPr>
        <w:t xml:space="preserve"> </w:t>
      </w:r>
      <w:r w:rsidRPr="009B4D64">
        <w:rPr>
          <w:sz w:val="24"/>
        </w:rPr>
        <w:t xml:space="preserve">the </w:t>
      </w:r>
      <w:r w:rsidR="00405FD2">
        <w:rPr>
          <w:sz w:val="24"/>
        </w:rPr>
        <w:t xml:space="preserve">middle of the </w:t>
      </w:r>
      <w:r w:rsidRPr="009B4D64">
        <w:rPr>
          <w:sz w:val="24"/>
        </w:rPr>
        <w:t xml:space="preserve">21st Century, safety and preservation continue to be emphasized.  </w:t>
      </w:r>
    </w:p>
    <w:p w:rsidR="00E824E5" w:rsidRPr="009B4D64" w:rsidRDefault="00E824E5" w:rsidP="002378AC">
      <w:pPr>
        <w:rPr>
          <w:sz w:val="24"/>
        </w:rPr>
      </w:pPr>
    </w:p>
    <w:p w:rsidR="00E824E5" w:rsidRPr="009B4D64" w:rsidRDefault="00E824E5" w:rsidP="002378AC">
      <w:pPr>
        <w:rPr>
          <w:sz w:val="24"/>
        </w:rPr>
      </w:pPr>
      <w:r w:rsidRPr="009B4D64">
        <w:rPr>
          <w:sz w:val="24"/>
        </w:rPr>
        <w:t xml:space="preserve">The </w:t>
      </w:r>
      <w:r w:rsidR="00405FD2">
        <w:rPr>
          <w:sz w:val="24"/>
        </w:rPr>
        <w:t>2040</w:t>
      </w:r>
      <w:r w:rsidR="00405FD2" w:rsidRPr="009B4D64">
        <w:rPr>
          <w:sz w:val="24"/>
        </w:rPr>
        <w:t xml:space="preserve"> </w:t>
      </w:r>
      <w:r w:rsidR="00861D89" w:rsidRPr="009B4D64">
        <w:rPr>
          <w:sz w:val="24"/>
        </w:rPr>
        <w:t xml:space="preserve">Revenue Forecast </w:t>
      </w:r>
      <w:r w:rsidRPr="009B4D64">
        <w:rPr>
          <w:sz w:val="24"/>
        </w:rPr>
        <w:t xml:space="preserve">includes the </w:t>
      </w:r>
      <w:r w:rsidR="007E479C" w:rsidRPr="009B4D64">
        <w:rPr>
          <w:sz w:val="24"/>
        </w:rPr>
        <w:t xml:space="preserve">program </w:t>
      </w:r>
      <w:r w:rsidRPr="009B4D64">
        <w:rPr>
          <w:sz w:val="24"/>
        </w:rPr>
        <w:t xml:space="preserve">funding levels contained in </w:t>
      </w:r>
      <w:r w:rsidR="004431B3" w:rsidRPr="009B4D64">
        <w:rPr>
          <w:sz w:val="24"/>
        </w:rPr>
        <w:t xml:space="preserve">the July 1, </w:t>
      </w:r>
      <w:r w:rsidR="00405FD2">
        <w:rPr>
          <w:sz w:val="24"/>
        </w:rPr>
        <w:t>2013</w:t>
      </w:r>
      <w:r w:rsidR="00405FD2" w:rsidRPr="009B4D64">
        <w:rPr>
          <w:sz w:val="24"/>
        </w:rPr>
        <w:t xml:space="preserve"> </w:t>
      </w:r>
      <w:r w:rsidRPr="009B4D64">
        <w:rPr>
          <w:sz w:val="24"/>
        </w:rPr>
        <w:t>Adopted Work Program</w:t>
      </w:r>
      <w:r w:rsidR="004431B3" w:rsidRPr="009B4D64">
        <w:rPr>
          <w:sz w:val="24"/>
        </w:rPr>
        <w:t xml:space="preserve"> for </w:t>
      </w:r>
      <w:r w:rsidR="00405FD2">
        <w:rPr>
          <w:sz w:val="24"/>
        </w:rPr>
        <w:t>2014</w:t>
      </w:r>
      <w:r w:rsidR="00405FD2" w:rsidRPr="009B4D64">
        <w:rPr>
          <w:sz w:val="24"/>
        </w:rPr>
        <w:t xml:space="preserve"> </w:t>
      </w:r>
      <w:r w:rsidR="004431B3" w:rsidRPr="009B4D64">
        <w:rPr>
          <w:sz w:val="24"/>
        </w:rPr>
        <w:t xml:space="preserve">through </w:t>
      </w:r>
      <w:r w:rsidR="00405FD2">
        <w:rPr>
          <w:sz w:val="24"/>
        </w:rPr>
        <w:t>2018</w:t>
      </w:r>
      <w:r w:rsidRPr="009B4D64">
        <w:rPr>
          <w:sz w:val="24"/>
        </w:rPr>
        <w:t>. The forecast of funding l</w:t>
      </w:r>
      <w:r w:rsidR="004431B3" w:rsidRPr="009B4D64">
        <w:rPr>
          <w:sz w:val="24"/>
        </w:rPr>
        <w:t>evels for FDOT programs for 20</w:t>
      </w:r>
      <w:r w:rsidR="00405FD2">
        <w:rPr>
          <w:sz w:val="24"/>
        </w:rPr>
        <w:t>19</w:t>
      </w:r>
      <w:r w:rsidR="004431B3" w:rsidRPr="009B4D64">
        <w:rPr>
          <w:sz w:val="24"/>
        </w:rPr>
        <w:t>-20</w:t>
      </w:r>
      <w:r w:rsidR="00405FD2">
        <w:rPr>
          <w:sz w:val="24"/>
        </w:rPr>
        <w:t>40</w:t>
      </w:r>
      <w:r w:rsidRPr="009B4D64">
        <w:rPr>
          <w:sz w:val="24"/>
        </w:rPr>
        <w:t xml:space="preserve"> was developed based on the Program and Resource </w:t>
      </w:r>
      <w:r w:rsidR="00861D89" w:rsidRPr="009B4D64">
        <w:rPr>
          <w:sz w:val="24"/>
        </w:rPr>
        <w:t>Plan (PRP) for fiscal</w:t>
      </w:r>
      <w:r w:rsidR="004431B3" w:rsidRPr="009B4D64">
        <w:rPr>
          <w:sz w:val="24"/>
        </w:rPr>
        <w:t xml:space="preserve"> years 20</w:t>
      </w:r>
      <w:r w:rsidR="00405FD2">
        <w:rPr>
          <w:sz w:val="24"/>
        </w:rPr>
        <w:t>13</w:t>
      </w:r>
      <w:r w:rsidR="004431B3" w:rsidRPr="009B4D64">
        <w:rPr>
          <w:sz w:val="24"/>
        </w:rPr>
        <w:t>-20</w:t>
      </w:r>
      <w:r w:rsidR="00B86B12">
        <w:rPr>
          <w:sz w:val="24"/>
        </w:rPr>
        <w:t>22</w:t>
      </w:r>
      <w:r w:rsidRPr="009B4D64">
        <w:rPr>
          <w:sz w:val="24"/>
        </w:rPr>
        <w:t xml:space="preserve">.    </w:t>
      </w:r>
      <w:r w:rsidR="00457B7B" w:rsidRPr="009B4D64">
        <w:rPr>
          <w:sz w:val="24"/>
        </w:rPr>
        <w:t>The remainder of this Appendix provides forecast information for “Capacity,” “Non-Capacity,” and “Other” state programs. The information is consistent with “Financial Guidelines for MPO Long Range Plans”</w:t>
      </w:r>
      <w:r w:rsidR="00F045F0" w:rsidRPr="009B4D64">
        <w:rPr>
          <w:sz w:val="24"/>
        </w:rPr>
        <w:t xml:space="preserve"> adopted by the Metropolitan Planning Organization Advisory Council in </w:t>
      </w:r>
      <w:r w:rsidR="00B86B12">
        <w:rPr>
          <w:sz w:val="24"/>
        </w:rPr>
        <w:t>January 2013</w:t>
      </w:r>
      <w:r w:rsidR="00F045F0" w:rsidRPr="009B4D64">
        <w:rPr>
          <w:sz w:val="24"/>
        </w:rPr>
        <w:t>.</w:t>
      </w:r>
    </w:p>
    <w:p w:rsidR="00405FD2" w:rsidRDefault="00405FD2" w:rsidP="007224C9">
      <w:pPr>
        <w:keepNext/>
        <w:keepLines/>
        <w:rPr>
          <w:b/>
          <w:bCs/>
          <w:sz w:val="24"/>
        </w:rPr>
      </w:pPr>
    </w:p>
    <w:p w:rsidR="00E824E5" w:rsidRPr="009B4D64" w:rsidRDefault="00E824E5" w:rsidP="007224C9">
      <w:pPr>
        <w:keepNext/>
        <w:keepLines/>
        <w:rPr>
          <w:sz w:val="24"/>
        </w:rPr>
      </w:pPr>
      <w:r w:rsidRPr="009B4D64">
        <w:rPr>
          <w:b/>
          <w:bCs/>
          <w:sz w:val="24"/>
        </w:rPr>
        <w:t>Capacity Programs</w:t>
      </w:r>
    </w:p>
    <w:p w:rsidR="00716CFD" w:rsidRDefault="00E824E5" w:rsidP="007224C9">
      <w:pPr>
        <w:pStyle w:val="BodyText"/>
        <w:keepNext/>
        <w:keepLines/>
        <w:jc w:val="left"/>
      </w:pPr>
      <w:r w:rsidRPr="009B4D64">
        <w:t xml:space="preserve">Capacity programs include each major FDOT program that expands the capacity of existing transportation systems (e.g., highways, transit).  </w:t>
      </w:r>
      <w:r w:rsidR="000D444B" w:rsidRPr="009B4D64">
        <w:t>T</w:t>
      </w:r>
      <w:r w:rsidRPr="009B4D64">
        <w:t xml:space="preserve">able </w:t>
      </w:r>
      <w:r w:rsidR="00F045F0" w:rsidRPr="009B4D64">
        <w:t>2</w:t>
      </w:r>
      <w:r w:rsidRPr="009B4D64">
        <w:t xml:space="preserve"> includes a brief description of each major capacity program and the linkage to the program categories used in the PRP.  </w:t>
      </w:r>
    </w:p>
    <w:p w:rsidR="00716CFD" w:rsidRPr="009B4D64" w:rsidRDefault="00716CFD" w:rsidP="00716CFD">
      <w:pPr>
        <w:pStyle w:val="BodyText"/>
        <w:keepNext/>
        <w:keepLines/>
        <w:jc w:val="center"/>
        <w:rPr>
          <w:rFonts w:ascii="Calibri" w:hAnsi="Calibri"/>
        </w:rPr>
      </w:pPr>
      <w:r>
        <w:br w:type="page"/>
      </w:r>
      <w:r w:rsidRPr="009B4D64">
        <w:rPr>
          <w:rFonts w:ascii="Calibri" w:hAnsi="Calibri"/>
          <w:b/>
          <w:bCs/>
        </w:rPr>
        <w:lastRenderedPageBreak/>
        <w:t>TABLE 2</w:t>
      </w:r>
    </w:p>
    <w:p w:rsidR="00716CFD" w:rsidRPr="009B4D64" w:rsidRDefault="00716CFD" w:rsidP="00716CFD">
      <w:pPr>
        <w:jc w:val="center"/>
        <w:rPr>
          <w:rFonts w:ascii="Calibri" w:hAnsi="Calibri"/>
          <w:b/>
          <w:bCs/>
          <w:sz w:val="24"/>
        </w:rPr>
      </w:pPr>
      <w:r w:rsidRPr="009B4D64">
        <w:rPr>
          <w:rFonts w:ascii="Calibri" w:hAnsi="Calibri"/>
          <w:b/>
          <w:bCs/>
          <w:sz w:val="24"/>
        </w:rPr>
        <w:t>Major Capaci</w:t>
      </w:r>
      <w:r>
        <w:rPr>
          <w:rFonts w:ascii="Calibri" w:hAnsi="Calibri"/>
          <w:b/>
          <w:bCs/>
          <w:sz w:val="24"/>
        </w:rPr>
        <w:t>ty Programs Included in the 2040</w:t>
      </w:r>
      <w:r w:rsidRPr="009B4D64">
        <w:rPr>
          <w:rFonts w:ascii="Calibri" w:hAnsi="Calibri"/>
          <w:b/>
          <w:bCs/>
          <w:sz w:val="24"/>
        </w:rPr>
        <w:t xml:space="preserve"> Revenue Forecast</w:t>
      </w:r>
    </w:p>
    <w:p w:rsidR="00716CFD" w:rsidRPr="009B4D64" w:rsidRDefault="00716CFD" w:rsidP="00716CFD">
      <w:pPr>
        <w:jc w:val="center"/>
        <w:rPr>
          <w:rFonts w:ascii="Calibri" w:hAnsi="Calibri"/>
          <w:b/>
          <w:bCs/>
          <w:sz w:val="24"/>
        </w:rPr>
      </w:pPr>
      <w:r w:rsidRPr="009B4D64">
        <w:rPr>
          <w:rFonts w:ascii="Calibri" w:hAnsi="Calibri"/>
          <w:b/>
          <w:bCs/>
          <w:sz w:val="24"/>
        </w:rPr>
        <w:t>and Corresponding Program Categories in the Program and Resource Plan (PRP)</w:t>
      </w:r>
    </w:p>
    <w:p w:rsidR="00716CFD" w:rsidRPr="009B4D64" w:rsidRDefault="00716CFD" w:rsidP="00716CFD">
      <w:pPr>
        <w:rPr>
          <w:rFonts w:ascii="Calibri" w:hAnsi="Calibri"/>
          <w:b/>
          <w:bCs/>
          <w:sz w:val="24"/>
        </w:rPr>
      </w:pPr>
    </w:p>
    <w:p w:rsidR="00716CFD" w:rsidRPr="009B4D64" w:rsidRDefault="00716CFD" w:rsidP="00716CFD">
      <w:pPr>
        <w:rPr>
          <w:rFonts w:ascii="Calibri" w:hAnsi="Calibri"/>
          <w:b/>
          <w:bCs/>
          <w:sz w:val="24"/>
        </w:rPr>
      </w:pPr>
    </w:p>
    <w:tbl>
      <w:tblPr>
        <w:tblW w:w="9540" w:type="dxa"/>
        <w:tblInd w:w="120" w:type="dxa"/>
        <w:tblLayout w:type="fixed"/>
        <w:tblCellMar>
          <w:left w:w="120" w:type="dxa"/>
          <w:right w:w="120" w:type="dxa"/>
        </w:tblCellMar>
        <w:tblLook w:val="0000" w:firstRow="0" w:lastRow="0" w:firstColumn="0" w:lastColumn="0" w:noHBand="0" w:noVBand="0"/>
      </w:tblPr>
      <w:tblGrid>
        <w:gridCol w:w="5580"/>
        <w:gridCol w:w="3960"/>
      </w:tblGrid>
      <w:tr w:rsidR="00716CFD" w:rsidRPr="009B4D64" w:rsidTr="00716CFD">
        <w:tc>
          <w:tcPr>
            <w:tcW w:w="558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 w:val="24"/>
              </w:rPr>
            </w:pPr>
          </w:p>
          <w:p w:rsidR="00716CFD" w:rsidRPr="009B4D64" w:rsidRDefault="00716CFD" w:rsidP="00716CFD">
            <w:pPr>
              <w:spacing w:after="58"/>
              <w:rPr>
                <w:rFonts w:ascii="Calibri" w:hAnsi="Calibri"/>
                <w:sz w:val="24"/>
              </w:rPr>
            </w:pPr>
            <w:r>
              <w:rPr>
                <w:rFonts w:ascii="Calibri" w:hAnsi="Calibri"/>
                <w:b/>
                <w:bCs/>
                <w:sz w:val="24"/>
              </w:rPr>
              <w:t>2040</w:t>
            </w:r>
            <w:r w:rsidRPr="009B4D64">
              <w:rPr>
                <w:rFonts w:ascii="Calibri" w:hAnsi="Calibri"/>
                <w:b/>
                <w:bCs/>
                <w:sz w:val="24"/>
              </w:rPr>
              <w:t xml:space="preserve"> Revenue Forecast Programs</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 w:val="24"/>
              </w:rPr>
            </w:pPr>
          </w:p>
          <w:p w:rsidR="00716CFD" w:rsidRPr="009B4D64" w:rsidRDefault="00716CFD" w:rsidP="00716CFD">
            <w:pPr>
              <w:spacing w:after="58"/>
              <w:rPr>
                <w:rFonts w:ascii="Calibri" w:hAnsi="Calibri"/>
                <w:sz w:val="24"/>
              </w:rPr>
            </w:pPr>
            <w:r w:rsidRPr="009B4D64">
              <w:rPr>
                <w:rFonts w:ascii="Calibri" w:hAnsi="Calibri"/>
                <w:b/>
                <w:bCs/>
                <w:sz w:val="24"/>
              </w:rPr>
              <w:t>PRP Program Categories</w:t>
            </w:r>
          </w:p>
        </w:tc>
      </w:tr>
      <w:tr w:rsidR="00716CFD" w:rsidRPr="009B4D64" w:rsidTr="00716CFD">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SIS Highways Construction &amp; ROW</w:t>
            </w:r>
            <w:r w:rsidRPr="004D665C">
              <w:rPr>
                <w:rFonts w:ascii="Calibri" w:hAnsi="Calibri"/>
                <w:sz w:val="22"/>
                <w:szCs w:val="22"/>
              </w:rPr>
              <w:t xml:space="preserve"> - Construction, improvements, and associated right of way on SIS highways (i.e., Interstate, the Turnpike, other toll roads, and other facilities designed to serve interstate and regional commerce including SIS Connectors).</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rPr>
                <w:rFonts w:ascii="Calibri" w:hAnsi="Calibri"/>
                <w:szCs w:val="20"/>
              </w:rPr>
            </w:pPr>
            <w:r w:rsidRPr="009B4D64">
              <w:rPr>
                <w:rFonts w:ascii="Calibri" w:hAnsi="Calibri"/>
                <w:szCs w:val="20"/>
              </w:rPr>
              <w:t>Interstate Construction</w:t>
            </w:r>
          </w:p>
          <w:p w:rsidR="00716CFD" w:rsidRPr="009B4D64" w:rsidRDefault="00716CFD" w:rsidP="00716CFD">
            <w:pPr>
              <w:rPr>
                <w:rFonts w:ascii="Calibri" w:hAnsi="Calibri"/>
                <w:szCs w:val="20"/>
              </w:rPr>
            </w:pPr>
            <w:r w:rsidRPr="009B4D64">
              <w:rPr>
                <w:rFonts w:ascii="Calibri" w:hAnsi="Calibri"/>
                <w:szCs w:val="20"/>
              </w:rPr>
              <w:t>Turnpike Construction</w:t>
            </w:r>
          </w:p>
          <w:p w:rsidR="00716CFD" w:rsidRPr="009B4D64" w:rsidRDefault="00716CFD" w:rsidP="00716CFD">
            <w:pPr>
              <w:rPr>
                <w:rFonts w:ascii="Calibri" w:hAnsi="Calibri"/>
                <w:szCs w:val="20"/>
              </w:rPr>
            </w:pPr>
            <w:r>
              <w:rPr>
                <w:rFonts w:ascii="Calibri" w:hAnsi="Calibri"/>
                <w:szCs w:val="20"/>
              </w:rPr>
              <w:t>Other SIS</w:t>
            </w:r>
            <w:r w:rsidRPr="009B4D64">
              <w:rPr>
                <w:rFonts w:ascii="Calibri" w:hAnsi="Calibri"/>
                <w:szCs w:val="20"/>
              </w:rPr>
              <w:t xml:space="preserve"> Construction</w:t>
            </w:r>
          </w:p>
          <w:p w:rsidR="00716CFD" w:rsidRPr="009B4D64" w:rsidRDefault="00716CFD" w:rsidP="00716CFD">
            <w:pPr>
              <w:rPr>
                <w:rFonts w:ascii="Calibri" w:hAnsi="Calibri"/>
                <w:szCs w:val="20"/>
              </w:rPr>
            </w:pPr>
            <w:r>
              <w:rPr>
                <w:rFonts w:ascii="Calibri" w:hAnsi="Calibri"/>
                <w:szCs w:val="20"/>
              </w:rPr>
              <w:t>SIS Traffic Operations</w:t>
            </w:r>
          </w:p>
          <w:p w:rsidR="00716CFD" w:rsidRPr="009B4D64" w:rsidRDefault="00716CFD" w:rsidP="00716CFD">
            <w:pPr>
              <w:rPr>
                <w:rFonts w:ascii="Calibri" w:hAnsi="Calibri"/>
                <w:szCs w:val="20"/>
              </w:rPr>
            </w:pPr>
            <w:r>
              <w:rPr>
                <w:rFonts w:ascii="Calibri" w:hAnsi="Calibri"/>
                <w:szCs w:val="20"/>
              </w:rPr>
              <w:t>SIS</w:t>
            </w:r>
            <w:r w:rsidRPr="009B4D64">
              <w:rPr>
                <w:rFonts w:ascii="Calibri" w:hAnsi="Calibri"/>
                <w:szCs w:val="20"/>
              </w:rPr>
              <w:t xml:space="preserve"> Right of Way</w:t>
            </w:r>
          </w:p>
          <w:p w:rsidR="00716CFD" w:rsidRPr="009B4D64" w:rsidRDefault="00716CFD" w:rsidP="00716CFD">
            <w:pPr>
              <w:spacing w:after="58"/>
              <w:rPr>
                <w:rFonts w:ascii="Calibri" w:hAnsi="Calibri"/>
                <w:szCs w:val="20"/>
              </w:rPr>
            </w:pPr>
            <w:r>
              <w:rPr>
                <w:rFonts w:ascii="Calibri" w:hAnsi="Calibri"/>
                <w:szCs w:val="20"/>
              </w:rPr>
              <w:t>SIS</w:t>
            </w:r>
            <w:r w:rsidRPr="009B4D64">
              <w:rPr>
                <w:rFonts w:ascii="Calibri" w:hAnsi="Calibri"/>
                <w:szCs w:val="20"/>
              </w:rPr>
              <w:t xml:space="preserve"> Advance Corridor Acquisition</w:t>
            </w:r>
          </w:p>
        </w:tc>
      </w:tr>
      <w:tr w:rsidR="00716CFD" w:rsidRPr="009B4D64" w:rsidTr="00716CFD">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Other Arterial Construction/ROW</w:t>
            </w:r>
            <w:r w:rsidRPr="004D665C">
              <w:rPr>
                <w:rFonts w:ascii="Calibri" w:hAnsi="Calibri"/>
                <w:sz w:val="22"/>
                <w:szCs w:val="22"/>
              </w:rPr>
              <w:t xml:space="preserve"> - Construction, improvements, and associated right of way on State Highway System roadways not designated as part of the SIS.  Also includes funding for the Economic Development Program, the County Incentive Grant Program, the Small County Road Assistance Program, and the Small County Outreach Program.</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rPr>
                <w:rFonts w:ascii="Calibri" w:hAnsi="Calibri"/>
                <w:szCs w:val="20"/>
              </w:rPr>
            </w:pPr>
            <w:r>
              <w:rPr>
                <w:rFonts w:ascii="Calibri" w:hAnsi="Calibri"/>
                <w:szCs w:val="20"/>
              </w:rPr>
              <w:t xml:space="preserve">Arterial </w:t>
            </w:r>
            <w:r w:rsidRPr="009B4D64">
              <w:rPr>
                <w:rFonts w:ascii="Calibri" w:hAnsi="Calibri"/>
                <w:szCs w:val="20"/>
              </w:rPr>
              <w:t>Traffic Operations</w:t>
            </w:r>
          </w:p>
          <w:p w:rsidR="00716CFD" w:rsidRPr="009B4D64" w:rsidRDefault="00716CFD" w:rsidP="00716CFD">
            <w:pPr>
              <w:rPr>
                <w:rFonts w:ascii="Calibri" w:hAnsi="Calibri"/>
                <w:szCs w:val="20"/>
              </w:rPr>
            </w:pPr>
            <w:r w:rsidRPr="009B4D64">
              <w:rPr>
                <w:rFonts w:ascii="Calibri" w:hAnsi="Calibri"/>
                <w:szCs w:val="20"/>
              </w:rPr>
              <w:t>Construction</w:t>
            </w:r>
          </w:p>
          <w:p w:rsidR="00716CFD" w:rsidRPr="009B4D64" w:rsidRDefault="00716CFD" w:rsidP="00716CFD">
            <w:pPr>
              <w:rPr>
                <w:rFonts w:ascii="Calibri" w:hAnsi="Calibri"/>
                <w:szCs w:val="20"/>
              </w:rPr>
            </w:pPr>
            <w:r w:rsidRPr="009B4D64">
              <w:rPr>
                <w:rFonts w:ascii="Calibri" w:hAnsi="Calibri"/>
                <w:szCs w:val="20"/>
              </w:rPr>
              <w:t>County Transportation Programs</w:t>
            </w:r>
          </w:p>
          <w:p w:rsidR="00716CFD" w:rsidRPr="009B4D64" w:rsidRDefault="00716CFD" w:rsidP="00716CFD">
            <w:pPr>
              <w:rPr>
                <w:rFonts w:ascii="Calibri" w:hAnsi="Calibri"/>
                <w:szCs w:val="20"/>
              </w:rPr>
            </w:pPr>
            <w:r w:rsidRPr="009B4D64">
              <w:rPr>
                <w:rFonts w:ascii="Calibri" w:hAnsi="Calibri"/>
                <w:szCs w:val="20"/>
              </w:rPr>
              <w:t>Economic Development</w:t>
            </w:r>
          </w:p>
          <w:p w:rsidR="00716CFD" w:rsidRPr="009B4D64" w:rsidRDefault="00716CFD" w:rsidP="00716CFD">
            <w:pPr>
              <w:rPr>
                <w:rFonts w:ascii="Calibri" w:hAnsi="Calibri"/>
                <w:szCs w:val="20"/>
              </w:rPr>
            </w:pPr>
            <w:r w:rsidRPr="009B4D64">
              <w:rPr>
                <w:rFonts w:ascii="Calibri" w:hAnsi="Calibri"/>
                <w:szCs w:val="20"/>
              </w:rPr>
              <w:t>Other Arterial &amp; Bridge Right of Way</w:t>
            </w:r>
          </w:p>
          <w:p w:rsidR="00716CFD" w:rsidRPr="009B4D64" w:rsidRDefault="00716CFD" w:rsidP="00716CFD">
            <w:pPr>
              <w:spacing w:after="58"/>
              <w:rPr>
                <w:rFonts w:ascii="Calibri" w:hAnsi="Calibri"/>
                <w:szCs w:val="20"/>
              </w:rPr>
            </w:pPr>
            <w:r w:rsidRPr="009B4D64">
              <w:rPr>
                <w:rFonts w:ascii="Calibri" w:hAnsi="Calibri"/>
                <w:szCs w:val="20"/>
              </w:rPr>
              <w:t>Other Arterial Advance Corridor Acquisition</w:t>
            </w:r>
          </w:p>
        </w:tc>
      </w:tr>
      <w:tr w:rsidR="00716CFD" w:rsidRPr="009B4D64" w:rsidTr="00716CFD">
        <w:trPr>
          <w:cantSplit/>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Aviation</w:t>
            </w:r>
            <w:r w:rsidRPr="004D665C">
              <w:rPr>
                <w:rFonts w:ascii="Calibri" w:hAnsi="Calibri"/>
                <w:sz w:val="22"/>
                <w:szCs w:val="22"/>
              </w:rPr>
              <w:t xml:space="preserve"> - Financial and technical assistance to Florida’s airports in the areas of safety, security, capacity enhancement, land acquisition, planning, economic development, and preservation.</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rPr>
                <w:rFonts w:ascii="Calibri" w:hAnsi="Calibri"/>
                <w:szCs w:val="20"/>
              </w:rPr>
            </w:pPr>
            <w:r w:rsidRPr="009B4D64">
              <w:rPr>
                <w:rFonts w:ascii="Calibri" w:hAnsi="Calibri"/>
                <w:szCs w:val="20"/>
              </w:rPr>
              <w:t>Airport Improvement</w:t>
            </w:r>
          </w:p>
          <w:p w:rsidR="00716CFD" w:rsidRPr="009B4D64" w:rsidRDefault="00716CFD" w:rsidP="00716CFD">
            <w:pPr>
              <w:rPr>
                <w:rFonts w:ascii="Calibri" w:hAnsi="Calibri"/>
                <w:szCs w:val="20"/>
              </w:rPr>
            </w:pPr>
            <w:r w:rsidRPr="009B4D64">
              <w:rPr>
                <w:rFonts w:ascii="Calibri" w:hAnsi="Calibri"/>
                <w:szCs w:val="20"/>
              </w:rPr>
              <w:t>Land Acquisition</w:t>
            </w:r>
          </w:p>
          <w:p w:rsidR="00716CFD" w:rsidRPr="009B4D64" w:rsidRDefault="00716CFD" w:rsidP="00716CFD">
            <w:pPr>
              <w:rPr>
                <w:rFonts w:ascii="Calibri" w:hAnsi="Calibri"/>
                <w:szCs w:val="20"/>
              </w:rPr>
            </w:pPr>
            <w:r w:rsidRPr="009B4D64">
              <w:rPr>
                <w:rFonts w:ascii="Calibri" w:hAnsi="Calibri"/>
                <w:szCs w:val="20"/>
              </w:rPr>
              <w:t>Planning</w:t>
            </w:r>
          </w:p>
          <w:p w:rsidR="00716CFD" w:rsidRPr="009B4D64" w:rsidRDefault="00716CFD" w:rsidP="00716CFD">
            <w:pPr>
              <w:spacing w:after="58"/>
              <w:rPr>
                <w:rFonts w:ascii="Calibri" w:hAnsi="Calibri"/>
                <w:szCs w:val="20"/>
              </w:rPr>
            </w:pPr>
            <w:r w:rsidRPr="009B4D64">
              <w:rPr>
                <w:rFonts w:ascii="Calibri" w:hAnsi="Calibri"/>
                <w:szCs w:val="20"/>
              </w:rPr>
              <w:t>Discretionary Capacity Improvements</w:t>
            </w:r>
          </w:p>
        </w:tc>
      </w:tr>
      <w:tr w:rsidR="00716CFD" w:rsidRPr="009B4D64" w:rsidTr="00716CFD">
        <w:trPr>
          <w:cantSplit/>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widowControl/>
              <w:tabs>
                <w:tab w:val="left" w:pos="-1080"/>
                <w:tab w:val="left" w:pos="-720"/>
                <w:tab w:val="left" w:pos="0"/>
                <w:tab w:val="left" w:pos="360"/>
              </w:tabs>
              <w:rPr>
                <w:rFonts w:ascii="Calibri" w:hAnsi="Calibri"/>
                <w:sz w:val="22"/>
                <w:szCs w:val="22"/>
              </w:rPr>
            </w:pPr>
            <w:r w:rsidRPr="004D665C">
              <w:rPr>
                <w:rFonts w:ascii="Calibri" w:hAnsi="Calibri"/>
                <w:sz w:val="22"/>
                <w:szCs w:val="22"/>
                <w:u w:val="single"/>
              </w:rPr>
              <w:t>Transit</w:t>
            </w:r>
            <w:r w:rsidRPr="004D665C">
              <w:rPr>
                <w:rFonts w:ascii="Calibri" w:hAnsi="Calibri"/>
                <w:sz w:val="22"/>
                <w:szCs w:val="22"/>
              </w:rPr>
              <w:t xml:space="preserve"> - Technical and operating/capital assistance to transit, paratransit, and ridesharing systems.</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rPr>
                <w:rFonts w:ascii="Calibri" w:hAnsi="Calibri"/>
                <w:szCs w:val="20"/>
              </w:rPr>
            </w:pPr>
            <w:r w:rsidRPr="009B4D64">
              <w:rPr>
                <w:rFonts w:ascii="Calibri" w:hAnsi="Calibri"/>
                <w:szCs w:val="20"/>
              </w:rPr>
              <w:t>Transit Systems</w:t>
            </w:r>
          </w:p>
          <w:p w:rsidR="00716CFD" w:rsidRPr="009B4D64" w:rsidRDefault="00716CFD" w:rsidP="00716CFD">
            <w:pPr>
              <w:rPr>
                <w:rFonts w:ascii="Calibri" w:hAnsi="Calibri"/>
                <w:szCs w:val="20"/>
              </w:rPr>
            </w:pPr>
            <w:r w:rsidRPr="009B4D64">
              <w:rPr>
                <w:rFonts w:ascii="Calibri" w:hAnsi="Calibri"/>
                <w:szCs w:val="20"/>
              </w:rPr>
              <w:t>Transportation Disadvantaged – Department</w:t>
            </w:r>
          </w:p>
          <w:p w:rsidR="00716CFD" w:rsidRPr="009B4D64" w:rsidRDefault="00716CFD" w:rsidP="00716CFD">
            <w:pPr>
              <w:rPr>
                <w:rFonts w:ascii="Calibri" w:hAnsi="Calibri"/>
                <w:szCs w:val="20"/>
              </w:rPr>
            </w:pPr>
            <w:r w:rsidRPr="009B4D64">
              <w:rPr>
                <w:rFonts w:ascii="Calibri" w:hAnsi="Calibri"/>
                <w:szCs w:val="20"/>
              </w:rPr>
              <w:t>Transportation Disadvantaged – Commission</w:t>
            </w:r>
          </w:p>
          <w:p w:rsidR="00716CFD" w:rsidRPr="009B4D64" w:rsidRDefault="00716CFD" w:rsidP="00716CFD">
            <w:pPr>
              <w:rPr>
                <w:rFonts w:ascii="Calibri" w:hAnsi="Calibri"/>
                <w:szCs w:val="20"/>
              </w:rPr>
            </w:pPr>
            <w:r w:rsidRPr="009B4D64">
              <w:rPr>
                <w:rFonts w:ascii="Calibri" w:hAnsi="Calibri"/>
                <w:szCs w:val="20"/>
              </w:rPr>
              <w:t>Other</w:t>
            </w:r>
            <w:r>
              <w:rPr>
                <w:rFonts w:ascii="Calibri" w:hAnsi="Calibri"/>
                <w:szCs w:val="20"/>
              </w:rPr>
              <w:t xml:space="preserve">; </w:t>
            </w:r>
            <w:r w:rsidRPr="009B4D64">
              <w:rPr>
                <w:rFonts w:ascii="Calibri" w:hAnsi="Calibri"/>
                <w:szCs w:val="20"/>
              </w:rPr>
              <w:t>Block Grants</w:t>
            </w:r>
            <w:r>
              <w:rPr>
                <w:rFonts w:ascii="Calibri" w:hAnsi="Calibri"/>
                <w:szCs w:val="20"/>
              </w:rPr>
              <w:t xml:space="preserve">; </w:t>
            </w:r>
            <w:r w:rsidRPr="009B4D64">
              <w:rPr>
                <w:rFonts w:ascii="Calibri" w:hAnsi="Calibri"/>
                <w:szCs w:val="20"/>
              </w:rPr>
              <w:t>New Starts Transit</w:t>
            </w:r>
          </w:p>
        </w:tc>
      </w:tr>
      <w:tr w:rsidR="00716CFD" w:rsidRPr="009B4D64" w:rsidTr="00716CFD">
        <w:trPr>
          <w:cantSplit/>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Rail</w:t>
            </w:r>
            <w:r w:rsidRPr="004D665C">
              <w:rPr>
                <w:rFonts w:ascii="Calibri" w:hAnsi="Calibri"/>
                <w:sz w:val="22"/>
                <w:szCs w:val="22"/>
              </w:rPr>
              <w:t xml:space="preserve"> - Rail safety inspections, rail-highway grade crossing safety, acquisition of rail corridors, assistance in developing intercity and commuter rail service, and rehabilitation of rail facilities.</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rPr>
                <w:rFonts w:ascii="Calibri" w:hAnsi="Calibri"/>
                <w:szCs w:val="20"/>
              </w:rPr>
            </w:pPr>
            <w:r>
              <w:rPr>
                <w:rFonts w:ascii="Calibri" w:hAnsi="Calibri"/>
                <w:szCs w:val="20"/>
              </w:rPr>
              <w:t>High Speed Rail</w:t>
            </w:r>
          </w:p>
          <w:p w:rsidR="00716CFD" w:rsidRPr="009B4D64" w:rsidRDefault="00716CFD" w:rsidP="00716CFD">
            <w:pPr>
              <w:rPr>
                <w:rFonts w:ascii="Calibri" w:hAnsi="Calibri"/>
                <w:szCs w:val="20"/>
              </w:rPr>
            </w:pPr>
            <w:r w:rsidRPr="009B4D64">
              <w:rPr>
                <w:rFonts w:ascii="Calibri" w:hAnsi="Calibri"/>
                <w:szCs w:val="20"/>
              </w:rPr>
              <w:t>Passenger Service</w:t>
            </w:r>
          </w:p>
          <w:p w:rsidR="00716CFD" w:rsidRPr="009B4D64" w:rsidRDefault="00716CFD" w:rsidP="00716CFD">
            <w:pPr>
              <w:rPr>
                <w:rFonts w:ascii="Calibri" w:hAnsi="Calibri"/>
                <w:szCs w:val="20"/>
              </w:rPr>
            </w:pPr>
            <w:r w:rsidRPr="009B4D64">
              <w:rPr>
                <w:rFonts w:ascii="Calibri" w:hAnsi="Calibri"/>
                <w:szCs w:val="20"/>
              </w:rPr>
              <w:t>Rail/Highway Crossings</w:t>
            </w:r>
          </w:p>
          <w:p w:rsidR="00716CFD" w:rsidRPr="009B4D64" w:rsidRDefault="00716CFD" w:rsidP="00716CFD">
            <w:pPr>
              <w:spacing w:after="58"/>
              <w:rPr>
                <w:rFonts w:ascii="Calibri" w:hAnsi="Calibri"/>
                <w:szCs w:val="20"/>
              </w:rPr>
            </w:pPr>
            <w:r w:rsidRPr="009B4D64">
              <w:rPr>
                <w:rFonts w:ascii="Calibri" w:hAnsi="Calibri"/>
                <w:szCs w:val="20"/>
              </w:rPr>
              <w:t>Rail Capacity Improvement/Rehabilitation</w:t>
            </w:r>
          </w:p>
        </w:tc>
      </w:tr>
      <w:tr w:rsidR="00716CFD" w:rsidRPr="009B4D64" w:rsidTr="00716CFD">
        <w:trPr>
          <w:cantSplit/>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Intermodal Access</w:t>
            </w:r>
            <w:r w:rsidRPr="004D665C">
              <w:rPr>
                <w:rFonts w:ascii="Calibri" w:hAnsi="Calibri"/>
                <w:sz w:val="22"/>
                <w:szCs w:val="22"/>
              </w:rPr>
              <w:t xml:space="preserve"> - Improving access to intermodal facilities, airports and seaports; associated rights of way acquisition.</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spacing w:after="58"/>
              <w:rPr>
                <w:rFonts w:ascii="Calibri" w:hAnsi="Calibri"/>
                <w:szCs w:val="20"/>
              </w:rPr>
            </w:pPr>
            <w:r w:rsidRPr="009B4D64">
              <w:rPr>
                <w:rFonts w:ascii="Calibri" w:hAnsi="Calibri"/>
                <w:szCs w:val="20"/>
              </w:rPr>
              <w:t>Intermodal Access</w:t>
            </w:r>
          </w:p>
        </w:tc>
      </w:tr>
      <w:tr w:rsidR="00716CFD" w:rsidRPr="009B4D64" w:rsidTr="00716CFD">
        <w:trPr>
          <w:cantSplit/>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widowControl/>
              <w:tabs>
                <w:tab w:val="left" w:pos="-1080"/>
                <w:tab w:val="left" w:pos="-720"/>
                <w:tab w:val="left" w:pos="0"/>
                <w:tab w:val="left" w:pos="360"/>
              </w:tabs>
              <w:spacing w:after="58"/>
              <w:rPr>
                <w:rFonts w:ascii="Calibri" w:hAnsi="Calibri"/>
                <w:sz w:val="22"/>
                <w:szCs w:val="22"/>
              </w:rPr>
            </w:pPr>
            <w:r w:rsidRPr="004D665C">
              <w:rPr>
                <w:rFonts w:ascii="Calibri" w:hAnsi="Calibri"/>
                <w:sz w:val="22"/>
                <w:szCs w:val="22"/>
                <w:u w:val="single"/>
              </w:rPr>
              <w:t>Seaport Development</w:t>
            </w:r>
            <w:r w:rsidRPr="004D665C">
              <w:rPr>
                <w:rFonts w:ascii="Calibri" w:hAnsi="Calibri"/>
                <w:sz w:val="22"/>
                <w:szCs w:val="22"/>
              </w:rPr>
              <w:t xml:space="preserve"> - Funding for development of public deep-water ports projects, such as security infrastructure and law enforcement measures, land acquisition, dredging, construction of storage facilities and terminals, and acquisition of container cranes and other equipment used in moving cargo and passengers.</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spacing w:after="58"/>
              <w:rPr>
                <w:rFonts w:ascii="Calibri" w:hAnsi="Calibri"/>
                <w:szCs w:val="20"/>
              </w:rPr>
            </w:pPr>
            <w:r w:rsidRPr="009B4D64">
              <w:rPr>
                <w:rFonts w:ascii="Calibri" w:hAnsi="Calibri"/>
                <w:szCs w:val="20"/>
              </w:rPr>
              <w:t>Seaport Development</w:t>
            </w:r>
          </w:p>
        </w:tc>
      </w:tr>
      <w:tr w:rsidR="00716CFD" w:rsidRPr="009B4D64" w:rsidTr="00716CFD">
        <w:trPr>
          <w:cantSplit/>
          <w:trHeight w:val="432"/>
        </w:trPr>
        <w:tc>
          <w:tcPr>
            <w:tcW w:w="5580" w:type="dxa"/>
            <w:tcBorders>
              <w:top w:val="single" w:sz="7" w:space="0" w:color="000000"/>
              <w:left w:val="single" w:sz="7" w:space="0" w:color="000000"/>
              <w:bottom w:val="single" w:sz="7" w:space="0" w:color="000000"/>
              <w:right w:val="single" w:sz="7" w:space="0" w:color="000000"/>
            </w:tcBorders>
          </w:tcPr>
          <w:p w:rsidR="00716CFD" w:rsidRPr="004D665C" w:rsidRDefault="00716CFD" w:rsidP="00716CFD">
            <w:pPr>
              <w:spacing w:line="120" w:lineRule="exact"/>
              <w:rPr>
                <w:rFonts w:ascii="Calibri" w:hAnsi="Calibri"/>
                <w:sz w:val="22"/>
                <w:szCs w:val="22"/>
              </w:rPr>
            </w:pPr>
          </w:p>
          <w:p w:rsidR="00716CFD" w:rsidRPr="004D665C" w:rsidRDefault="00716CFD" w:rsidP="00716CFD">
            <w:pPr>
              <w:spacing w:after="58"/>
              <w:rPr>
                <w:rFonts w:ascii="Calibri" w:hAnsi="Calibri"/>
                <w:sz w:val="22"/>
                <w:szCs w:val="22"/>
              </w:rPr>
            </w:pPr>
            <w:r w:rsidRPr="004D665C">
              <w:rPr>
                <w:rFonts w:ascii="Calibri" w:hAnsi="Calibri"/>
                <w:sz w:val="22"/>
                <w:szCs w:val="22"/>
                <w:u w:val="single"/>
              </w:rPr>
              <w:t>Documentary Stamps Funds</w:t>
            </w:r>
            <w:r w:rsidRPr="004D665C">
              <w:rPr>
                <w:rFonts w:ascii="Calibri" w:hAnsi="Calibri"/>
                <w:sz w:val="22"/>
                <w:szCs w:val="22"/>
              </w:rPr>
              <w:t xml:space="preserve"> – Improving intermodal facilities and acquisition of associated rights of way.</w:t>
            </w:r>
          </w:p>
        </w:tc>
        <w:tc>
          <w:tcPr>
            <w:tcW w:w="3960" w:type="dxa"/>
            <w:tcBorders>
              <w:top w:val="single" w:sz="7" w:space="0" w:color="000000"/>
              <w:left w:val="single" w:sz="7" w:space="0" w:color="000000"/>
              <w:bottom w:val="single" w:sz="7" w:space="0" w:color="000000"/>
              <w:right w:val="single" w:sz="7" w:space="0" w:color="000000"/>
            </w:tcBorders>
          </w:tcPr>
          <w:p w:rsidR="00716CFD" w:rsidRPr="009B4D64" w:rsidRDefault="00716CFD" w:rsidP="00716CFD">
            <w:pPr>
              <w:spacing w:line="120" w:lineRule="exact"/>
              <w:rPr>
                <w:rFonts w:ascii="Calibri" w:hAnsi="Calibri"/>
                <w:szCs w:val="20"/>
              </w:rPr>
            </w:pPr>
          </w:p>
          <w:p w:rsidR="00716CFD" w:rsidRPr="009B4D64" w:rsidRDefault="00716CFD" w:rsidP="00716CFD">
            <w:pPr>
              <w:spacing w:after="58"/>
              <w:rPr>
                <w:rFonts w:ascii="Calibri" w:hAnsi="Calibri"/>
                <w:szCs w:val="20"/>
              </w:rPr>
            </w:pPr>
            <w:r>
              <w:rPr>
                <w:rFonts w:ascii="Calibri" w:hAnsi="Calibri"/>
                <w:szCs w:val="20"/>
              </w:rPr>
              <w:t>Documentary Stamps</w:t>
            </w:r>
            <w:r w:rsidRPr="009B4D64">
              <w:rPr>
                <w:rFonts w:ascii="Calibri" w:hAnsi="Calibri"/>
                <w:szCs w:val="20"/>
              </w:rPr>
              <w:t xml:space="preserve"> Funds not in Adopted Work Programs by</w:t>
            </w:r>
            <w:r>
              <w:rPr>
                <w:rFonts w:ascii="Calibri" w:hAnsi="Calibri"/>
                <w:szCs w:val="20"/>
              </w:rPr>
              <w:t xml:space="preserve"> July 1, 2013</w:t>
            </w:r>
            <w:r w:rsidRPr="009B4D64">
              <w:rPr>
                <w:rFonts w:ascii="Calibri" w:hAnsi="Calibri"/>
                <w:szCs w:val="20"/>
              </w:rPr>
              <w:t>.</w:t>
            </w:r>
          </w:p>
        </w:tc>
      </w:tr>
    </w:tbl>
    <w:p w:rsidR="00716CFD" w:rsidRPr="009B4D64" w:rsidRDefault="00716CFD" w:rsidP="00716CFD">
      <w:pPr>
        <w:rPr>
          <w:sz w:val="24"/>
        </w:rPr>
      </w:pPr>
    </w:p>
    <w:p w:rsidR="00456C34" w:rsidRPr="009B4D64" w:rsidRDefault="00716CFD" w:rsidP="00716CFD">
      <w:pPr>
        <w:pStyle w:val="BodyText"/>
        <w:keepNext/>
        <w:keepLines/>
        <w:jc w:val="left"/>
      </w:pPr>
      <w:r>
        <w:br w:type="page"/>
      </w:r>
      <w:r w:rsidR="00456C34" w:rsidRPr="009B4D64">
        <w:rPr>
          <w:u w:val="single"/>
        </w:rPr>
        <w:lastRenderedPageBreak/>
        <w:t>Statewide Forecast for Capacity Programs</w:t>
      </w:r>
      <w:r w:rsidR="00456C34" w:rsidRPr="009B4D64">
        <w:t xml:space="preserve"> </w:t>
      </w:r>
    </w:p>
    <w:p w:rsidR="00E824E5" w:rsidRPr="009B4D64" w:rsidRDefault="00E824E5" w:rsidP="002378AC">
      <w:pPr>
        <w:rPr>
          <w:sz w:val="24"/>
        </w:rPr>
      </w:pPr>
      <w:r w:rsidRPr="009B4D64">
        <w:rPr>
          <w:sz w:val="24"/>
        </w:rPr>
        <w:t xml:space="preserve">Table </w:t>
      </w:r>
      <w:r w:rsidR="00F045F0" w:rsidRPr="009B4D64">
        <w:rPr>
          <w:sz w:val="24"/>
        </w:rPr>
        <w:t>3</w:t>
      </w:r>
      <w:r w:rsidRPr="009B4D64">
        <w:rPr>
          <w:sz w:val="24"/>
        </w:rPr>
        <w:t xml:space="preserve"> identifies the statewide estimates for </w:t>
      </w:r>
      <w:r w:rsidR="00CA7656" w:rsidRPr="009B4D64">
        <w:rPr>
          <w:sz w:val="24"/>
        </w:rPr>
        <w:t>capacity</w:t>
      </w:r>
      <w:r w:rsidRPr="009B4D64">
        <w:rPr>
          <w:sz w:val="24"/>
        </w:rPr>
        <w:t xml:space="preserve"> programs in the </w:t>
      </w:r>
      <w:r w:rsidR="00CA50B2">
        <w:rPr>
          <w:sz w:val="24"/>
        </w:rPr>
        <w:t>2040</w:t>
      </w:r>
      <w:r w:rsidR="00CA50B2" w:rsidRPr="009B4D64">
        <w:rPr>
          <w:sz w:val="24"/>
        </w:rPr>
        <w:t xml:space="preserve"> </w:t>
      </w:r>
      <w:r w:rsidR="00CA7656" w:rsidRPr="009B4D64">
        <w:rPr>
          <w:sz w:val="24"/>
        </w:rPr>
        <w:t>Revenue Forecast.  About $</w:t>
      </w:r>
      <w:r w:rsidR="00B86B12">
        <w:rPr>
          <w:sz w:val="24"/>
        </w:rPr>
        <w:t>216</w:t>
      </w:r>
      <w:r w:rsidR="00B86B12" w:rsidRPr="009B4D64">
        <w:rPr>
          <w:sz w:val="24"/>
        </w:rPr>
        <w:t xml:space="preserve"> </w:t>
      </w:r>
      <w:r w:rsidRPr="009B4D64">
        <w:rPr>
          <w:sz w:val="24"/>
        </w:rPr>
        <w:t>billion is forecast for the entire state transportatio</w:t>
      </w:r>
      <w:r w:rsidR="001B030F" w:rsidRPr="009B4D64">
        <w:rPr>
          <w:sz w:val="24"/>
        </w:rPr>
        <w:t xml:space="preserve">n program from </w:t>
      </w:r>
      <w:r w:rsidR="00B86B12">
        <w:rPr>
          <w:sz w:val="24"/>
        </w:rPr>
        <w:t>2014</w:t>
      </w:r>
      <w:r w:rsidR="00B86B12" w:rsidRPr="009B4D64">
        <w:rPr>
          <w:sz w:val="24"/>
        </w:rPr>
        <w:t xml:space="preserve"> </w:t>
      </w:r>
      <w:r w:rsidR="001B030F" w:rsidRPr="009B4D64">
        <w:rPr>
          <w:sz w:val="24"/>
        </w:rPr>
        <w:t xml:space="preserve">through </w:t>
      </w:r>
      <w:r w:rsidR="00B86B12">
        <w:rPr>
          <w:sz w:val="24"/>
        </w:rPr>
        <w:t>2040</w:t>
      </w:r>
      <w:r w:rsidR="00CA7656" w:rsidRPr="009B4D64">
        <w:rPr>
          <w:sz w:val="24"/>
        </w:rPr>
        <w:t>; about $</w:t>
      </w:r>
      <w:r w:rsidR="0027281E">
        <w:rPr>
          <w:sz w:val="24"/>
        </w:rPr>
        <w:t>103</w:t>
      </w:r>
      <w:r w:rsidR="00B86B12" w:rsidRPr="009B4D64">
        <w:rPr>
          <w:sz w:val="24"/>
        </w:rPr>
        <w:t xml:space="preserve"> </w:t>
      </w:r>
      <w:r w:rsidR="001B030F" w:rsidRPr="009B4D64">
        <w:rPr>
          <w:sz w:val="24"/>
        </w:rPr>
        <w:t>billion (</w:t>
      </w:r>
      <w:r w:rsidR="00B86B12">
        <w:rPr>
          <w:sz w:val="24"/>
        </w:rPr>
        <w:t>48</w:t>
      </w:r>
      <w:r w:rsidRPr="009B4D64">
        <w:rPr>
          <w:sz w:val="24"/>
        </w:rPr>
        <w:t>%) is forecast for capacity programs.</w:t>
      </w:r>
    </w:p>
    <w:p w:rsidR="00716CFD" w:rsidRDefault="00716CFD" w:rsidP="002378AC">
      <w:pPr>
        <w:rPr>
          <w:sz w:val="24"/>
        </w:rPr>
      </w:pPr>
    </w:p>
    <w:p w:rsidR="00716CFD" w:rsidRPr="009B4D64" w:rsidRDefault="00716CFD" w:rsidP="00716CFD">
      <w:pPr>
        <w:jc w:val="center"/>
        <w:rPr>
          <w:rFonts w:ascii="Calibri" w:hAnsi="Calibri"/>
          <w:b/>
          <w:sz w:val="24"/>
        </w:rPr>
      </w:pPr>
      <w:r w:rsidRPr="009B4D64">
        <w:rPr>
          <w:rFonts w:ascii="Calibri" w:hAnsi="Calibri"/>
          <w:b/>
          <w:sz w:val="24"/>
        </w:rPr>
        <w:t>Table 3</w:t>
      </w:r>
      <w:r>
        <w:rPr>
          <w:rFonts w:ascii="Calibri" w:hAnsi="Calibri"/>
          <w:b/>
          <w:sz w:val="24"/>
        </w:rPr>
        <w:t xml:space="preserve"> </w:t>
      </w:r>
    </w:p>
    <w:p w:rsidR="00716CFD" w:rsidRPr="009B4D64" w:rsidRDefault="00716CFD" w:rsidP="00716CFD">
      <w:pPr>
        <w:jc w:val="center"/>
        <w:rPr>
          <w:rFonts w:ascii="Calibri" w:hAnsi="Calibri"/>
          <w:b/>
          <w:sz w:val="24"/>
        </w:rPr>
      </w:pPr>
      <w:r w:rsidRPr="009B4D64">
        <w:rPr>
          <w:rFonts w:ascii="Calibri" w:hAnsi="Calibri"/>
          <w:b/>
          <w:sz w:val="24"/>
        </w:rPr>
        <w:t>Statewide Capacity Program Estimates</w:t>
      </w:r>
    </w:p>
    <w:p w:rsidR="00716CFD" w:rsidRPr="009B4D64" w:rsidRDefault="00716CFD" w:rsidP="00716CFD">
      <w:pPr>
        <w:jc w:val="center"/>
        <w:rPr>
          <w:rFonts w:ascii="Calibri" w:hAnsi="Calibri"/>
          <w:b/>
          <w:sz w:val="24"/>
        </w:rPr>
      </w:pPr>
      <w:r w:rsidRPr="009B4D64">
        <w:rPr>
          <w:rFonts w:ascii="Calibri" w:hAnsi="Calibri"/>
          <w:b/>
          <w:sz w:val="24"/>
        </w:rPr>
        <w:t xml:space="preserve">State and Federal Funds from the </w:t>
      </w:r>
      <w:r>
        <w:rPr>
          <w:rFonts w:ascii="Calibri" w:hAnsi="Calibri"/>
          <w:b/>
          <w:sz w:val="24"/>
        </w:rPr>
        <w:t>2040</w:t>
      </w:r>
      <w:r w:rsidRPr="009B4D64">
        <w:rPr>
          <w:rFonts w:ascii="Calibri" w:hAnsi="Calibri"/>
          <w:b/>
          <w:sz w:val="24"/>
        </w:rPr>
        <w:t xml:space="preserve"> Revenue Forecast (Millions of Dollars)</w:t>
      </w:r>
    </w:p>
    <w:p w:rsidR="00716CFD" w:rsidRPr="009B4D64" w:rsidRDefault="00716CFD" w:rsidP="00716CFD">
      <w:pPr>
        <w:rPr>
          <w:rFonts w:ascii="Calibri" w:hAnsi="Calibri"/>
          <w:sz w:val="24"/>
        </w:rPr>
      </w:pPr>
    </w:p>
    <w:tbl>
      <w:tblPr>
        <w:tblW w:w="9779" w:type="dxa"/>
        <w:jc w:val="center"/>
        <w:tblLook w:val="0000" w:firstRow="0" w:lastRow="0" w:firstColumn="0" w:lastColumn="0" w:noHBand="0" w:noVBand="0"/>
      </w:tblPr>
      <w:tblGrid>
        <w:gridCol w:w="3447"/>
        <w:gridCol w:w="990"/>
        <w:gridCol w:w="990"/>
        <w:gridCol w:w="990"/>
        <w:gridCol w:w="990"/>
        <w:gridCol w:w="990"/>
        <w:gridCol w:w="1382"/>
      </w:tblGrid>
      <w:tr w:rsidR="00716CFD" w:rsidRPr="009B4D64" w:rsidTr="00BC6A12">
        <w:trPr>
          <w:trHeight w:val="420"/>
          <w:jc w:val="center"/>
        </w:trPr>
        <w:tc>
          <w:tcPr>
            <w:tcW w:w="3447"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716CFD" w:rsidRPr="00185CD5" w:rsidRDefault="00716CFD" w:rsidP="00716CFD">
            <w:pPr>
              <w:rPr>
                <w:rFonts w:ascii="Calibri" w:hAnsi="Calibri" w:cs="Calibri"/>
                <w:b/>
                <w:bCs/>
                <w:szCs w:val="20"/>
              </w:rPr>
            </w:pPr>
            <w:r w:rsidRPr="00185CD5">
              <w:rPr>
                <w:rFonts w:ascii="Calibri" w:hAnsi="Calibri" w:cs="Calibri"/>
                <w:b/>
                <w:bCs/>
                <w:szCs w:val="20"/>
              </w:rPr>
              <w:t>Major Programs</w:t>
            </w:r>
          </w:p>
        </w:tc>
        <w:tc>
          <w:tcPr>
            <w:tcW w:w="4950" w:type="dxa"/>
            <w:gridSpan w:val="5"/>
            <w:tcBorders>
              <w:top w:val="single" w:sz="12" w:space="0" w:color="auto"/>
              <w:left w:val="single" w:sz="4" w:space="0" w:color="auto"/>
              <w:right w:val="single" w:sz="4" w:space="0" w:color="000000"/>
            </w:tcBorders>
            <w:tcMar>
              <w:left w:w="43" w:type="dxa"/>
              <w:right w:w="43" w:type="dxa"/>
            </w:tcMar>
            <w:vAlign w:val="center"/>
          </w:tcPr>
          <w:p w:rsidR="00716CFD" w:rsidRPr="00185CD5" w:rsidRDefault="00716CFD" w:rsidP="00716CFD">
            <w:pPr>
              <w:jc w:val="center"/>
              <w:rPr>
                <w:rFonts w:ascii="Calibri" w:hAnsi="Calibri" w:cs="Calibri"/>
                <w:b/>
                <w:bCs/>
                <w:szCs w:val="20"/>
              </w:rPr>
            </w:pPr>
            <w:r w:rsidRPr="00185CD5">
              <w:rPr>
                <w:rFonts w:ascii="Calibri" w:hAnsi="Calibri" w:cs="Calibri"/>
                <w:b/>
                <w:bCs/>
                <w:szCs w:val="20"/>
              </w:rPr>
              <w:t>5-Year Period (Fiscal Years)</w:t>
            </w:r>
          </w:p>
        </w:tc>
        <w:tc>
          <w:tcPr>
            <w:tcW w:w="1382" w:type="dxa"/>
            <w:tcBorders>
              <w:top w:val="single" w:sz="12" w:space="0" w:color="auto"/>
              <w:left w:val="single" w:sz="4" w:space="0" w:color="auto"/>
              <w:bottom w:val="single" w:sz="4" w:space="0" w:color="000000"/>
              <w:right w:val="single" w:sz="12" w:space="0" w:color="auto"/>
            </w:tcBorders>
            <w:shd w:val="clear" w:color="auto" w:fill="auto"/>
            <w:tcMar>
              <w:left w:w="14" w:type="dxa"/>
              <w:right w:w="14" w:type="dxa"/>
            </w:tcMar>
            <w:vAlign w:val="center"/>
          </w:tcPr>
          <w:p w:rsidR="00716CFD" w:rsidRPr="00185CD5" w:rsidRDefault="00716CFD" w:rsidP="00716CFD">
            <w:pPr>
              <w:tabs>
                <w:tab w:val="left" w:pos="-1080"/>
                <w:tab w:val="left" w:pos="-720"/>
                <w:tab w:val="left" w:pos="0"/>
                <w:tab w:val="left" w:pos="360"/>
              </w:tabs>
              <w:jc w:val="center"/>
              <w:rPr>
                <w:rFonts w:ascii="Calibri" w:hAnsi="Calibri" w:cs="Calibri"/>
                <w:b/>
                <w:bCs/>
                <w:szCs w:val="20"/>
              </w:rPr>
            </w:pPr>
            <w:r w:rsidRPr="00185CD5">
              <w:rPr>
                <w:rFonts w:ascii="Calibri" w:hAnsi="Calibri" w:cs="Calibri"/>
                <w:b/>
                <w:bCs/>
                <w:szCs w:val="20"/>
              </w:rPr>
              <w:t>27-Year Total</w:t>
            </w:r>
            <w:r w:rsidRPr="00185CD5">
              <w:rPr>
                <w:rFonts w:ascii="Calibri" w:hAnsi="Calibri" w:cs="Calibri"/>
                <w:szCs w:val="20"/>
                <w:vertAlign w:val="superscript"/>
              </w:rPr>
              <w:t>2</w:t>
            </w:r>
          </w:p>
        </w:tc>
      </w:tr>
      <w:tr w:rsidR="00CC19E8" w:rsidRPr="009B4D64" w:rsidTr="00BC6A12">
        <w:trPr>
          <w:trHeight w:val="315"/>
          <w:jc w:val="center"/>
        </w:trPr>
        <w:tc>
          <w:tcPr>
            <w:tcW w:w="3447" w:type="dxa"/>
            <w:vMerge/>
            <w:tcBorders>
              <w:top w:val="single" w:sz="12" w:space="0" w:color="auto"/>
              <w:left w:val="single" w:sz="12" w:space="0" w:color="auto"/>
              <w:bottom w:val="single" w:sz="4" w:space="0" w:color="000000"/>
              <w:right w:val="single" w:sz="4" w:space="0" w:color="auto"/>
            </w:tcBorders>
            <w:vAlign w:val="center"/>
          </w:tcPr>
          <w:p w:rsidR="00CC19E8" w:rsidRPr="00185CD5" w:rsidRDefault="00CC19E8" w:rsidP="00716CFD">
            <w:pPr>
              <w:rPr>
                <w:rFonts w:ascii="Calibri" w:hAnsi="Calibri" w:cs="Calibri"/>
                <w:b/>
                <w:bCs/>
                <w:szCs w:val="20"/>
              </w:rPr>
            </w:pPr>
          </w:p>
        </w:tc>
        <w:tc>
          <w:tcPr>
            <w:tcW w:w="990" w:type="dxa"/>
            <w:tcBorders>
              <w:top w:val="single" w:sz="4" w:space="0" w:color="000000"/>
              <w:left w:val="nil"/>
              <w:bottom w:val="single" w:sz="4" w:space="0" w:color="auto"/>
              <w:right w:val="single" w:sz="4" w:space="0" w:color="auto"/>
            </w:tcBorders>
            <w:noWrap/>
            <w:tcMar>
              <w:left w:w="43" w:type="dxa"/>
              <w:right w:w="43" w:type="dxa"/>
            </w:tcMar>
            <w:vAlign w:val="center"/>
          </w:tcPr>
          <w:p w:rsidR="00CC19E8" w:rsidRPr="00185CD5" w:rsidRDefault="00CC19E8" w:rsidP="00CC19E8">
            <w:pPr>
              <w:spacing w:line="120" w:lineRule="exact"/>
              <w:jc w:val="right"/>
              <w:rPr>
                <w:rFonts w:ascii="Calibri" w:hAnsi="Calibri" w:cs="Calibri"/>
                <w:b/>
                <w:bCs/>
                <w:szCs w:val="20"/>
              </w:rPr>
            </w:pPr>
          </w:p>
          <w:p w:rsidR="00CC19E8" w:rsidRPr="00185CD5" w:rsidRDefault="00CC19E8" w:rsidP="00CC19E8">
            <w:pPr>
              <w:tabs>
                <w:tab w:val="left" w:pos="-1080"/>
                <w:tab w:val="left" w:pos="-720"/>
                <w:tab w:val="left" w:pos="0"/>
                <w:tab w:val="left" w:pos="360"/>
              </w:tabs>
              <w:spacing w:after="58"/>
              <w:jc w:val="right"/>
              <w:rPr>
                <w:rFonts w:ascii="Calibri" w:hAnsi="Calibri" w:cs="Calibri"/>
                <w:b/>
                <w:bCs/>
                <w:szCs w:val="20"/>
              </w:rPr>
            </w:pPr>
            <w:r w:rsidRPr="00185CD5">
              <w:rPr>
                <w:rFonts w:ascii="Calibri" w:hAnsi="Calibri" w:cs="Calibri"/>
                <w:b/>
                <w:bCs/>
                <w:szCs w:val="20"/>
              </w:rPr>
              <w:t>2014-15</w:t>
            </w:r>
            <w:r w:rsidRPr="00185CD5">
              <w:rPr>
                <w:rFonts w:ascii="Calibri" w:hAnsi="Calibri" w:cs="Calibri"/>
                <w:b/>
                <w:bCs/>
                <w:szCs w:val="20"/>
                <w:vertAlign w:val="superscript"/>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C19E8" w:rsidRPr="00185CD5" w:rsidRDefault="00CC19E8" w:rsidP="00CC19E8">
            <w:pPr>
              <w:spacing w:line="120" w:lineRule="exact"/>
              <w:jc w:val="right"/>
              <w:rPr>
                <w:rFonts w:ascii="Calibri" w:hAnsi="Calibri" w:cs="Calibri"/>
                <w:b/>
                <w:bCs/>
                <w:szCs w:val="20"/>
              </w:rPr>
            </w:pPr>
          </w:p>
          <w:p w:rsidR="00CC19E8" w:rsidRPr="00185CD5" w:rsidRDefault="00CC19E8" w:rsidP="00CC19E8">
            <w:pPr>
              <w:tabs>
                <w:tab w:val="left" w:pos="-1080"/>
                <w:tab w:val="left" w:pos="-720"/>
                <w:tab w:val="left" w:pos="0"/>
                <w:tab w:val="left" w:pos="360"/>
              </w:tabs>
              <w:spacing w:after="58"/>
              <w:jc w:val="right"/>
              <w:rPr>
                <w:rFonts w:ascii="Calibri" w:hAnsi="Calibri" w:cs="Calibri"/>
                <w:b/>
                <w:bCs/>
                <w:szCs w:val="20"/>
              </w:rPr>
            </w:pPr>
            <w:r w:rsidRPr="00185CD5">
              <w:rPr>
                <w:rFonts w:ascii="Calibri" w:hAnsi="Calibri" w:cs="Calibri"/>
                <w:b/>
                <w:bCs/>
                <w:szCs w:val="20"/>
              </w:rPr>
              <w:t>2016-20</w:t>
            </w:r>
            <w:r w:rsidRPr="00185CD5">
              <w:rPr>
                <w:rFonts w:ascii="Calibri" w:hAnsi="Calibri" w:cs="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CC19E8" w:rsidRPr="00185CD5" w:rsidRDefault="00CC19E8" w:rsidP="00CC19E8">
            <w:pPr>
              <w:spacing w:line="120" w:lineRule="exact"/>
              <w:jc w:val="right"/>
              <w:rPr>
                <w:rFonts w:ascii="Calibri" w:hAnsi="Calibri" w:cs="Calibri"/>
                <w:b/>
                <w:bCs/>
                <w:szCs w:val="20"/>
              </w:rPr>
            </w:pPr>
          </w:p>
          <w:p w:rsidR="00CC19E8" w:rsidRPr="00185CD5" w:rsidRDefault="00CC19E8" w:rsidP="00CC19E8">
            <w:pPr>
              <w:tabs>
                <w:tab w:val="left" w:pos="-1080"/>
                <w:tab w:val="left" w:pos="-720"/>
                <w:tab w:val="left" w:pos="0"/>
                <w:tab w:val="left" w:pos="360"/>
              </w:tabs>
              <w:spacing w:after="58"/>
              <w:jc w:val="right"/>
              <w:rPr>
                <w:rFonts w:ascii="Calibri" w:hAnsi="Calibri" w:cs="Calibri"/>
                <w:b/>
                <w:bCs/>
                <w:szCs w:val="20"/>
              </w:rPr>
            </w:pPr>
            <w:r w:rsidRPr="00185CD5">
              <w:rPr>
                <w:rFonts w:ascii="Calibri" w:hAnsi="Calibri" w:cs="Calibri"/>
                <w:b/>
                <w:bCs/>
                <w:szCs w:val="20"/>
              </w:rPr>
              <w:t>2021-25</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CC19E8" w:rsidRPr="00185CD5" w:rsidRDefault="00CC19E8" w:rsidP="00CC19E8">
            <w:pPr>
              <w:spacing w:line="120" w:lineRule="exact"/>
              <w:jc w:val="right"/>
              <w:rPr>
                <w:rFonts w:ascii="Calibri" w:hAnsi="Calibri" w:cs="Calibri"/>
                <w:b/>
                <w:bCs/>
                <w:szCs w:val="20"/>
              </w:rPr>
            </w:pPr>
          </w:p>
          <w:p w:rsidR="00CC19E8" w:rsidRPr="00185CD5" w:rsidRDefault="00CC19E8" w:rsidP="00CC19E8">
            <w:pPr>
              <w:tabs>
                <w:tab w:val="left" w:pos="-1080"/>
                <w:tab w:val="left" w:pos="-720"/>
                <w:tab w:val="left" w:pos="0"/>
                <w:tab w:val="left" w:pos="360"/>
              </w:tabs>
              <w:spacing w:after="58"/>
              <w:jc w:val="right"/>
              <w:rPr>
                <w:rFonts w:ascii="Calibri" w:hAnsi="Calibri" w:cs="Calibri"/>
                <w:b/>
                <w:bCs/>
                <w:szCs w:val="20"/>
              </w:rPr>
            </w:pPr>
            <w:r w:rsidRPr="00185CD5">
              <w:rPr>
                <w:rFonts w:ascii="Calibri" w:hAnsi="Calibri" w:cs="Calibri"/>
                <w:b/>
                <w:bCs/>
                <w:szCs w:val="20"/>
              </w:rPr>
              <w:t>2026-30</w:t>
            </w:r>
          </w:p>
        </w:tc>
        <w:tc>
          <w:tcPr>
            <w:tcW w:w="990" w:type="dxa"/>
            <w:tcBorders>
              <w:top w:val="single" w:sz="4" w:space="0" w:color="auto"/>
              <w:left w:val="nil"/>
              <w:bottom w:val="single" w:sz="4" w:space="0" w:color="auto"/>
              <w:right w:val="single" w:sz="4" w:space="0" w:color="auto"/>
            </w:tcBorders>
            <w:shd w:val="clear" w:color="auto" w:fill="auto"/>
            <w:noWrap/>
            <w:tcMar>
              <w:left w:w="115" w:type="dxa"/>
              <w:right w:w="115" w:type="dxa"/>
            </w:tcMar>
            <w:vAlign w:val="center"/>
          </w:tcPr>
          <w:p w:rsidR="00CC19E8" w:rsidRPr="00185CD5" w:rsidRDefault="00CC19E8" w:rsidP="00CC19E8">
            <w:pPr>
              <w:spacing w:line="120" w:lineRule="exact"/>
              <w:jc w:val="right"/>
              <w:rPr>
                <w:rFonts w:ascii="Calibri" w:hAnsi="Calibri" w:cs="Calibri"/>
                <w:b/>
                <w:bCs/>
                <w:szCs w:val="20"/>
              </w:rPr>
            </w:pPr>
          </w:p>
          <w:p w:rsidR="00CC19E8" w:rsidRPr="00185CD5" w:rsidRDefault="00CC19E8" w:rsidP="00CC19E8">
            <w:pPr>
              <w:tabs>
                <w:tab w:val="left" w:pos="-1080"/>
                <w:tab w:val="left" w:pos="-720"/>
                <w:tab w:val="left" w:pos="0"/>
                <w:tab w:val="left" w:pos="360"/>
              </w:tabs>
              <w:spacing w:after="58"/>
              <w:jc w:val="right"/>
              <w:rPr>
                <w:rFonts w:ascii="Calibri" w:hAnsi="Calibri" w:cs="Calibri"/>
                <w:b/>
                <w:bCs/>
                <w:szCs w:val="20"/>
              </w:rPr>
            </w:pPr>
            <w:r w:rsidRPr="00185CD5">
              <w:rPr>
                <w:rFonts w:ascii="Calibri" w:hAnsi="Calibri" w:cs="Calibri"/>
                <w:b/>
                <w:bCs/>
                <w:szCs w:val="20"/>
              </w:rPr>
              <w:t>2031-40</w:t>
            </w:r>
          </w:p>
        </w:tc>
        <w:tc>
          <w:tcPr>
            <w:tcW w:w="1382" w:type="dxa"/>
            <w:tcBorders>
              <w:top w:val="nil"/>
              <w:left w:val="single" w:sz="4" w:space="0" w:color="auto"/>
              <w:bottom w:val="single" w:sz="4" w:space="0" w:color="auto"/>
              <w:right w:val="single" w:sz="12" w:space="0" w:color="auto"/>
            </w:tcBorders>
            <w:shd w:val="clear" w:color="auto" w:fill="auto"/>
            <w:noWrap/>
            <w:tcMar>
              <w:left w:w="43" w:type="dxa"/>
              <w:right w:w="115" w:type="dxa"/>
            </w:tcMar>
            <w:vAlign w:val="center"/>
          </w:tcPr>
          <w:p w:rsidR="00CC19E8" w:rsidRPr="00185CD5" w:rsidRDefault="00CC19E8" w:rsidP="00CC19E8">
            <w:pPr>
              <w:jc w:val="right"/>
              <w:rPr>
                <w:rFonts w:ascii="Calibri" w:hAnsi="Calibri" w:cs="Calibri"/>
                <w:b/>
                <w:szCs w:val="20"/>
              </w:rPr>
            </w:pPr>
            <w:r w:rsidRPr="00185CD5">
              <w:rPr>
                <w:rFonts w:ascii="Calibri" w:hAnsi="Calibri" w:cs="Calibri"/>
                <w:b/>
                <w:szCs w:val="20"/>
              </w:rPr>
              <w:t>2014-2040</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SIS Highways Construction &amp; ROW</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4,879</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7,747</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7,738</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8,509</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17,726</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46,599</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Other Arterials Construction &amp; ROW</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2,264</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4,371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4,264</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4,076</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8,766</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23,740</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Aviation</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333</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853</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819</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911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1,981</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4,896</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Transit</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855</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1,883</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1,942</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2,041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4,280</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11,001</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Rail</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500</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865</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729</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807</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1,745</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4,647</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Intermodal Access</w:t>
            </w:r>
          </w:p>
        </w:tc>
        <w:tc>
          <w:tcPr>
            <w:tcW w:w="990" w:type="dxa"/>
            <w:tcBorders>
              <w:top w:val="single" w:sz="4" w:space="0" w:color="auto"/>
              <w:left w:val="nil"/>
              <w:bottom w:val="single" w:sz="4" w:space="0" w:color="auto"/>
              <w:right w:val="single" w:sz="4" w:space="0" w:color="auto"/>
            </w:tcBorders>
            <w:vAlign w:val="bottom"/>
          </w:tcPr>
          <w:p w:rsidR="005451E0" w:rsidRPr="00185CD5" w:rsidRDefault="000B795C">
            <w:pPr>
              <w:jc w:val="right"/>
              <w:rPr>
                <w:rFonts w:ascii="Calibri" w:hAnsi="Calibri" w:cs="Calibri"/>
                <w:szCs w:val="20"/>
              </w:rPr>
            </w:pPr>
            <w:r>
              <w:rPr>
                <w:rFonts w:ascii="Calibri" w:hAnsi="Calibri" w:cs="Calibri"/>
                <w:szCs w:val="20"/>
              </w:rPr>
              <w:t>83</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153</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182</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199</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430</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1,043</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Seaports</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383</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395</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496</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553</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1,205</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3,031</w:t>
            </w:r>
          </w:p>
        </w:tc>
      </w:tr>
      <w:tr w:rsidR="005451E0" w:rsidRPr="009B4D64"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szCs w:val="20"/>
              </w:rPr>
            </w:pPr>
            <w:r w:rsidRPr="00185CD5">
              <w:rPr>
                <w:rFonts w:ascii="Calibri" w:hAnsi="Calibri" w:cs="Calibri"/>
                <w:szCs w:val="20"/>
              </w:rPr>
              <w:t>Documentary Stamps Funds</w:t>
            </w:r>
            <w:r w:rsidR="004D665C" w:rsidRPr="004D665C">
              <w:rPr>
                <w:rFonts w:ascii="Calibri" w:hAnsi="Calibri" w:cs="Calibri"/>
                <w:szCs w:val="20"/>
                <w:vertAlign w:val="superscript"/>
              </w:rPr>
              <w:t>3</w:t>
            </w:r>
          </w:p>
        </w:tc>
        <w:tc>
          <w:tcPr>
            <w:tcW w:w="990" w:type="dxa"/>
            <w:tcBorders>
              <w:top w:val="single" w:sz="4" w:space="0" w:color="auto"/>
              <w:left w:val="nil"/>
              <w:bottom w:val="single" w:sz="4" w:space="0" w:color="auto"/>
              <w:right w:val="single" w:sz="4" w:space="0" w:color="auto"/>
            </w:tcBorders>
            <w:vAlign w:val="bottom"/>
          </w:tcPr>
          <w:p w:rsidR="005451E0" w:rsidRPr="00185CD5" w:rsidRDefault="005451E0">
            <w:pPr>
              <w:jc w:val="right"/>
              <w:rPr>
                <w:rFonts w:ascii="Calibri" w:hAnsi="Calibri" w:cs="Calibri"/>
                <w:szCs w:val="20"/>
              </w:rPr>
            </w:pPr>
            <w:r w:rsidRPr="00185CD5">
              <w:rPr>
                <w:rFonts w:ascii="Calibri" w:hAnsi="Calibri" w:cs="Calibri"/>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639</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1,791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1,791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3,582</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pPr>
              <w:jc w:val="right"/>
              <w:rPr>
                <w:rFonts w:ascii="Calibri" w:hAnsi="Calibri" w:cs="Calibri"/>
                <w:szCs w:val="20"/>
              </w:rPr>
            </w:pPr>
            <w:r w:rsidRPr="00185CD5">
              <w:rPr>
                <w:rFonts w:ascii="Calibri" w:hAnsi="Calibri" w:cs="Calibri"/>
                <w:szCs w:val="20"/>
              </w:rPr>
              <w:t>7,803</w:t>
            </w:r>
          </w:p>
        </w:tc>
      </w:tr>
      <w:tr w:rsidR="005451E0" w:rsidRPr="00E076FB" w:rsidTr="00BC6A12">
        <w:trPr>
          <w:trHeight w:val="300"/>
          <w:jc w:val="center"/>
        </w:trPr>
        <w:tc>
          <w:tcPr>
            <w:tcW w:w="3447" w:type="dxa"/>
            <w:tcBorders>
              <w:top w:val="nil"/>
              <w:left w:val="single" w:sz="12" w:space="0" w:color="auto"/>
              <w:bottom w:val="single" w:sz="4" w:space="0" w:color="auto"/>
              <w:right w:val="single" w:sz="4" w:space="0" w:color="auto"/>
            </w:tcBorders>
            <w:shd w:val="clear" w:color="auto" w:fill="auto"/>
            <w:noWrap/>
            <w:vAlign w:val="bottom"/>
          </w:tcPr>
          <w:p w:rsidR="005451E0" w:rsidRPr="00185CD5" w:rsidRDefault="005451E0" w:rsidP="00716CFD">
            <w:pPr>
              <w:rPr>
                <w:rFonts w:ascii="Calibri" w:hAnsi="Calibri" w:cs="Calibri"/>
                <w:b/>
                <w:szCs w:val="20"/>
              </w:rPr>
            </w:pPr>
            <w:r w:rsidRPr="00185CD5">
              <w:rPr>
                <w:rFonts w:ascii="Calibri" w:hAnsi="Calibri" w:cs="Calibri"/>
                <w:b/>
                <w:szCs w:val="20"/>
              </w:rPr>
              <w:t>Total Capacity Programs</w:t>
            </w:r>
          </w:p>
        </w:tc>
        <w:tc>
          <w:tcPr>
            <w:tcW w:w="990" w:type="dxa"/>
            <w:tcBorders>
              <w:top w:val="single" w:sz="4" w:space="0" w:color="auto"/>
              <w:left w:val="nil"/>
              <w:bottom w:val="single" w:sz="4" w:space="0" w:color="auto"/>
              <w:right w:val="single" w:sz="4" w:space="0" w:color="auto"/>
            </w:tcBorders>
            <w:vAlign w:val="bottom"/>
          </w:tcPr>
          <w:p w:rsidR="005451E0" w:rsidRPr="00185CD5" w:rsidRDefault="000B795C" w:rsidP="005451E0">
            <w:pPr>
              <w:jc w:val="right"/>
              <w:rPr>
                <w:rFonts w:ascii="Calibri" w:hAnsi="Calibri" w:cs="Calibri"/>
                <w:b/>
                <w:szCs w:val="20"/>
              </w:rPr>
            </w:pPr>
            <w:r>
              <w:rPr>
                <w:rFonts w:ascii="Calibri" w:hAnsi="Calibri" w:cs="Calibri"/>
                <w:b/>
                <w:szCs w:val="20"/>
              </w:rPr>
              <w:t>9,297</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16,905</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17,961</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18,888</w:t>
            </w:r>
          </w:p>
        </w:tc>
        <w:tc>
          <w:tcPr>
            <w:tcW w:w="990" w:type="dxa"/>
            <w:tcBorders>
              <w:top w:val="nil"/>
              <w:left w:val="nil"/>
              <w:bottom w:val="single" w:sz="4"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39,715</w:t>
            </w:r>
          </w:p>
        </w:tc>
        <w:tc>
          <w:tcPr>
            <w:tcW w:w="1382" w:type="dxa"/>
            <w:tcBorders>
              <w:top w:val="nil"/>
              <w:left w:val="single" w:sz="4" w:space="0" w:color="auto"/>
              <w:bottom w:val="single" w:sz="4" w:space="0" w:color="auto"/>
              <w:right w:val="single" w:sz="12"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102,761</w:t>
            </w:r>
          </w:p>
        </w:tc>
      </w:tr>
      <w:tr w:rsidR="005451E0" w:rsidRPr="00E076FB" w:rsidTr="00BC6A12">
        <w:trPr>
          <w:trHeight w:val="413"/>
          <w:jc w:val="center"/>
        </w:trPr>
        <w:tc>
          <w:tcPr>
            <w:tcW w:w="3447" w:type="dxa"/>
            <w:tcBorders>
              <w:top w:val="nil"/>
              <w:left w:val="single" w:sz="12" w:space="0" w:color="auto"/>
              <w:bottom w:val="single" w:sz="12" w:space="0" w:color="auto"/>
              <w:right w:val="single" w:sz="4" w:space="0" w:color="auto"/>
            </w:tcBorders>
            <w:shd w:val="clear" w:color="auto" w:fill="auto"/>
            <w:noWrap/>
            <w:vAlign w:val="bottom"/>
          </w:tcPr>
          <w:p w:rsidR="005451E0" w:rsidRPr="00185CD5" w:rsidRDefault="005451E0" w:rsidP="00716CFD">
            <w:pPr>
              <w:rPr>
                <w:rFonts w:ascii="Calibri" w:hAnsi="Calibri" w:cs="Calibri"/>
                <w:b/>
                <w:szCs w:val="20"/>
              </w:rPr>
            </w:pPr>
            <w:r w:rsidRPr="00185CD5">
              <w:rPr>
                <w:rFonts w:ascii="Calibri" w:hAnsi="Calibri" w:cs="Calibri"/>
                <w:b/>
                <w:szCs w:val="20"/>
              </w:rPr>
              <w:t>Statewide Total Forecast</w:t>
            </w:r>
          </w:p>
        </w:tc>
        <w:tc>
          <w:tcPr>
            <w:tcW w:w="990" w:type="dxa"/>
            <w:tcBorders>
              <w:top w:val="single" w:sz="4" w:space="0" w:color="auto"/>
              <w:left w:val="nil"/>
              <w:bottom w:val="single" w:sz="12" w:space="0" w:color="auto"/>
              <w:right w:val="single" w:sz="4" w:space="0" w:color="auto"/>
            </w:tcBorders>
            <w:vAlign w:val="bottom"/>
          </w:tcPr>
          <w:p w:rsidR="005451E0" w:rsidRPr="00185CD5" w:rsidRDefault="000B795C" w:rsidP="005451E0">
            <w:pPr>
              <w:jc w:val="right"/>
              <w:rPr>
                <w:rFonts w:ascii="Calibri" w:hAnsi="Calibri" w:cs="Calibri"/>
                <w:b/>
                <w:szCs w:val="20"/>
              </w:rPr>
            </w:pPr>
            <w:r>
              <w:rPr>
                <w:rFonts w:ascii="Calibri" w:hAnsi="Calibri" w:cs="Calibri"/>
                <w:b/>
                <w:szCs w:val="20"/>
              </w:rPr>
              <w:t xml:space="preserve">             16,505</w:t>
            </w:r>
            <w:r w:rsidR="005451E0" w:rsidRPr="00185CD5">
              <w:rPr>
                <w:rFonts w:ascii="Calibri" w:hAnsi="Calibri" w:cs="Calibri"/>
                <w:b/>
                <w:szCs w:val="20"/>
              </w:rPr>
              <w:t xml:space="preserve"> </w:t>
            </w:r>
          </w:p>
        </w:tc>
        <w:tc>
          <w:tcPr>
            <w:tcW w:w="990" w:type="dxa"/>
            <w:tcBorders>
              <w:top w:val="nil"/>
              <w:left w:val="single" w:sz="4" w:space="0" w:color="auto"/>
              <w:bottom w:val="single" w:sz="12"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 xml:space="preserve">             34,829 </w:t>
            </w:r>
          </w:p>
        </w:tc>
        <w:tc>
          <w:tcPr>
            <w:tcW w:w="990" w:type="dxa"/>
            <w:tcBorders>
              <w:top w:val="nil"/>
              <w:left w:val="nil"/>
              <w:bottom w:val="single" w:sz="12"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 xml:space="preserve">             37,516 </w:t>
            </w:r>
          </w:p>
        </w:tc>
        <w:tc>
          <w:tcPr>
            <w:tcW w:w="990" w:type="dxa"/>
            <w:tcBorders>
              <w:top w:val="nil"/>
              <w:left w:val="nil"/>
              <w:bottom w:val="single" w:sz="12"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 xml:space="preserve">             40,266 </w:t>
            </w:r>
          </w:p>
        </w:tc>
        <w:tc>
          <w:tcPr>
            <w:tcW w:w="990" w:type="dxa"/>
            <w:tcBorders>
              <w:top w:val="nil"/>
              <w:left w:val="nil"/>
              <w:bottom w:val="single" w:sz="12" w:space="0" w:color="auto"/>
              <w:right w:val="single" w:sz="4" w:space="0" w:color="auto"/>
            </w:tcBorders>
            <w:shd w:val="clear" w:color="auto" w:fill="auto"/>
            <w:noWrap/>
            <w:vAlign w:val="bottom"/>
          </w:tcPr>
          <w:p w:rsidR="005451E0" w:rsidRPr="00185CD5" w:rsidRDefault="005451E0" w:rsidP="005451E0">
            <w:pPr>
              <w:jc w:val="right"/>
              <w:rPr>
                <w:rFonts w:ascii="Calibri" w:hAnsi="Calibri" w:cs="Calibri"/>
                <w:b/>
                <w:szCs w:val="20"/>
              </w:rPr>
            </w:pPr>
            <w:r w:rsidRPr="00185CD5">
              <w:rPr>
                <w:rFonts w:ascii="Calibri" w:hAnsi="Calibri" w:cs="Calibri"/>
                <w:b/>
                <w:szCs w:val="20"/>
              </w:rPr>
              <w:t xml:space="preserve">             86,715 </w:t>
            </w:r>
          </w:p>
        </w:tc>
        <w:tc>
          <w:tcPr>
            <w:tcW w:w="1382" w:type="dxa"/>
            <w:tcBorders>
              <w:top w:val="nil"/>
              <w:left w:val="single" w:sz="4" w:space="0" w:color="auto"/>
              <w:bottom w:val="single" w:sz="12" w:space="0" w:color="auto"/>
              <w:right w:val="single" w:sz="12" w:space="0" w:color="auto"/>
            </w:tcBorders>
            <w:shd w:val="clear" w:color="auto" w:fill="auto"/>
            <w:noWrap/>
            <w:vAlign w:val="bottom"/>
          </w:tcPr>
          <w:p w:rsidR="005451E0" w:rsidRPr="00185CD5" w:rsidRDefault="000B795C" w:rsidP="005451E0">
            <w:pPr>
              <w:jc w:val="right"/>
              <w:rPr>
                <w:rFonts w:ascii="Calibri" w:hAnsi="Calibri" w:cs="Calibri"/>
                <w:b/>
                <w:szCs w:val="20"/>
              </w:rPr>
            </w:pPr>
            <w:r>
              <w:rPr>
                <w:rFonts w:ascii="Calibri" w:hAnsi="Calibri" w:cs="Calibri"/>
                <w:b/>
                <w:szCs w:val="20"/>
              </w:rPr>
              <w:t xml:space="preserve">           215,830</w:t>
            </w:r>
            <w:r w:rsidR="005451E0" w:rsidRPr="00185CD5">
              <w:rPr>
                <w:rFonts w:ascii="Calibri" w:hAnsi="Calibri" w:cs="Calibri"/>
                <w:b/>
                <w:szCs w:val="20"/>
              </w:rPr>
              <w:t xml:space="preserve"> </w:t>
            </w:r>
          </w:p>
        </w:tc>
      </w:tr>
    </w:tbl>
    <w:p w:rsidR="00716CFD" w:rsidRPr="009B4D64" w:rsidRDefault="00716CFD" w:rsidP="00716CFD">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Based on the FDOT </w:t>
      </w:r>
      <w:r>
        <w:rPr>
          <w:rFonts w:ascii="Calibri" w:hAnsi="Calibri"/>
          <w:szCs w:val="20"/>
        </w:rPr>
        <w:t>Tentative Work Program for 2014 through 2018</w:t>
      </w:r>
      <w:r w:rsidRPr="009B4D64">
        <w:rPr>
          <w:rFonts w:ascii="Calibri" w:hAnsi="Calibri"/>
          <w:szCs w:val="20"/>
        </w:rPr>
        <w:t>.</w:t>
      </w:r>
    </w:p>
    <w:p w:rsidR="00716CFD" w:rsidRPr="009B4D64" w:rsidRDefault="00716CFD" w:rsidP="00716CFD">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Columns and rows sometimes do not equal the totals due to rounding. </w:t>
      </w:r>
    </w:p>
    <w:p w:rsidR="00716CFD" w:rsidRPr="009B4D64" w:rsidRDefault="00716CFD" w:rsidP="00716CFD">
      <w:pPr>
        <w:tabs>
          <w:tab w:val="left" w:pos="-1080"/>
          <w:tab w:val="left" w:pos="-720"/>
          <w:tab w:val="left" w:pos="0"/>
          <w:tab w:val="left" w:pos="360"/>
        </w:tabs>
        <w:rPr>
          <w:rFonts w:ascii="Calibri" w:hAnsi="Calibri"/>
          <w:szCs w:val="20"/>
        </w:rPr>
      </w:pPr>
      <w:r w:rsidRPr="009B4D64">
        <w:rPr>
          <w:rFonts w:ascii="Calibri" w:hAnsi="Calibri"/>
          <w:szCs w:val="20"/>
          <w:vertAlign w:val="superscript"/>
        </w:rPr>
        <w:t>3</w:t>
      </w:r>
      <w:r w:rsidRPr="009B4D64">
        <w:rPr>
          <w:rFonts w:ascii="Calibri" w:hAnsi="Calibri"/>
          <w:szCs w:val="20"/>
        </w:rPr>
        <w:t xml:space="preserve"> </w:t>
      </w:r>
      <w:r>
        <w:rPr>
          <w:rFonts w:ascii="Calibri" w:hAnsi="Calibri"/>
          <w:szCs w:val="20"/>
        </w:rPr>
        <w:t>Documentary Stamps</w:t>
      </w:r>
      <w:r w:rsidRPr="009B4D64">
        <w:rPr>
          <w:rFonts w:ascii="Calibri" w:hAnsi="Calibri"/>
          <w:szCs w:val="20"/>
        </w:rPr>
        <w:t xml:space="preserve"> funds not programmed in FDOT Work Programs as of Ju</w:t>
      </w:r>
      <w:r>
        <w:rPr>
          <w:rFonts w:ascii="Calibri" w:hAnsi="Calibri"/>
          <w:szCs w:val="20"/>
        </w:rPr>
        <w:t>ly 1, 2013</w:t>
      </w:r>
      <w:r w:rsidRPr="009B4D64">
        <w:rPr>
          <w:rFonts w:ascii="Calibri" w:hAnsi="Calibri"/>
          <w:szCs w:val="20"/>
        </w:rPr>
        <w:t>.</w:t>
      </w:r>
    </w:p>
    <w:p w:rsidR="00716CFD" w:rsidRPr="00716CFD" w:rsidRDefault="00716CFD" w:rsidP="002378AC">
      <w:pPr>
        <w:rPr>
          <w:sz w:val="24"/>
        </w:rPr>
      </w:pPr>
    </w:p>
    <w:p w:rsidR="003F4580" w:rsidRPr="009B4D64" w:rsidRDefault="003F4580" w:rsidP="002378AC">
      <w:pPr>
        <w:rPr>
          <w:sz w:val="24"/>
        </w:rPr>
      </w:pPr>
      <w:r w:rsidRPr="009B4D64">
        <w:rPr>
          <w:sz w:val="24"/>
          <w:u w:val="single"/>
        </w:rPr>
        <w:t>Metropolitan Forecast for Capacity Programs</w:t>
      </w:r>
      <w:r w:rsidRPr="009B4D64">
        <w:rPr>
          <w:sz w:val="24"/>
        </w:rPr>
        <w:t xml:space="preserve"> </w:t>
      </w:r>
    </w:p>
    <w:p w:rsidR="003F4580" w:rsidRPr="009B4D64" w:rsidRDefault="003F4580" w:rsidP="002378AC">
      <w:pPr>
        <w:tabs>
          <w:tab w:val="left" w:pos="-720"/>
          <w:tab w:val="left" w:pos="0"/>
          <w:tab w:val="left" w:pos="198"/>
          <w:tab w:val="left" w:pos="378"/>
          <w:tab w:val="left" w:pos="720"/>
          <w:tab w:val="left" w:pos="1098"/>
        </w:tabs>
        <w:rPr>
          <w:sz w:val="24"/>
        </w:rPr>
      </w:pPr>
      <w:r w:rsidRPr="009B4D64">
        <w:rPr>
          <w:sz w:val="24"/>
        </w:rPr>
        <w:t xml:space="preserve">As the first step in preparing metropolitan estimates, the Department prepared </w:t>
      </w:r>
      <w:r w:rsidR="00CA7656" w:rsidRPr="009B4D64">
        <w:rPr>
          <w:sz w:val="24"/>
        </w:rPr>
        <w:t>district and metropolitan</w:t>
      </w:r>
      <w:r w:rsidRPr="009B4D64">
        <w:rPr>
          <w:sz w:val="24"/>
        </w:rPr>
        <w:t xml:space="preserve"> estimates for the capacity programs from the statewide forecast consistent with provisions in state and federal law.  Pursuant to federal law, transportation management area (TMA) funds </w:t>
      </w:r>
      <w:r w:rsidR="00B86B12">
        <w:rPr>
          <w:sz w:val="24"/>
        </w:rPr>
        <w:t xml:space="preserve">and certain Transportation Alterntives (TALU) funds </w:t>
      </w:r>
      <w:r w:rsidRPr="009B4D64">
        <w:rPr>
          <w:sz w:val="24"/>
        </w:rPr>
        <w:t xml:space="preserve">were distributed based on </w:t>
      </w:r>
      <w:r w:rsidR="00B86B12">
        <w:rPr>
          <w:sz w:val="24"/>
        </w:rPr>
        <w:t>2010</w:t>
      </w:r>
      <w:r w:rsidR="00B86B12" w:rsidRPr="009B4D64">
        <w:rPr>
          <w:sz w:val="24"/>
        </w:rPr>
        <w:t xml:space="preserve"> </w:t>
      </w:r>
      <w:r w:rsidRPr="009B4D64">
        <w:rPr>
          <w:sz w:val="24"/>
        </w:rPr>
        <w:t xml:space="preserve">population.  District estimates for </w:t>
      </w:r>
      <w:r w:rsidR="00B86B12">
        <w:rPr>
          <w:sz w:val="24"/>
        </w:rPr>
        <w:t xml:space="preserve">certain Transportation Alternatives (TA) funds and </w:t>
      </w:r>
      <w:r w:rsidRPr="009B4D64">
        <w:rPr>
          <w:sz w:val="24"/>
        </w:rPr>
        <w:t xml:space="preserve">the </w:t>
      </w:r>
      <w:r w:rsidR="000D444B" w:rsidRPr="009B4D64">
        <w:rPr>
          <w:sz w:val="24"/>
        </w:rPr>
        <w:t>following</w:t>
      </w:r>
      <w:r w:rsidRPr="009B4D64">
        <w:rPr>
          <w:sz w:val="24"/>
        </w:rPr>
        <w:t xml:space="preserve"> programs were developed using the current statutory formula</w:t>
      </w:r>
      <w:r w:rsidR="00F8266F" w:rsidRPr="009B4D64">
        <w:rPr>
          <w:rStyle w:val="FootnoteReference"/>
        </w:rPr>
        <w:footnoteReference w:id="2"/>
      </w:r>
      <w:r w:rsidRPr="009B4D64">
        <w:rPr>
          <w:sz w:val="24"/>
        </w:rPr>
        <w:t xml:space="preserve">: other arterials construction/right-of-way (net of TMA </w:t>
      </w:r>
      <w:r w:rsidR="00B86B12">
        <w:rPr>
          <w:sz w:val="24"/>
        </w:rPr>
        <w:t xml:space="preserve">and TA </w:t>
      </w:r>
      <w:r w:rsidRPr="009B4D64">
        <w:rPr>
          <w:sz w:val="24"/>
        </w:rPr>
        <w:t>funds); ; and the transit program.</w:t>
      </w:r>
      <w:r w:rsidRPr="009B4D64">
        <w:rPr>
          <w:rStyle w:val="FootnoteReference"/>
        </w:rPr>
        <w:t xml:space="preserve"> </w:t>
      </w:r>
      <w:r w:rsidRPr="009B4D64">
        <w:rPr>
          <w:sz w:val="24"/>
        </w:rPr>
        <w:t xml:space="preserve"> </w:t>
      </w:r>
    </w:p>
    <w:p w:rsidR="003F4580" w:rsidRPr="009B4D64" w:rsidRDefault="003F4580" w:rsidP="002378AC">
      <w:pPr>
        <w:tabs>
          <w:tab w:val="left" w:pos="-720"/>
          <w:tab w:val="left" w:pos="0"/>
          <w:tab w:val="left" w:pos="198"/>
          <w:tab w:val="left" w:pos="378"/>
          <w:tab w:val="left" w:pos="720"/>
          <w:tab w:val="left" w:pos="1098"/>
        </w:tabs>
        <w:rPr>
          <w:sz w:val="24"/>
        </w:rPr>
      </w:pPr>
    </w:p>
    <w:p w:rsidR="003F4580" w:rsidRPr="009B4D64" w:rsidRDefault="00CA7656" w:rsidP="002378AC">
      <w:pPr>
        <w:tabs>
          <w:tab w:val="left" w:pos="-720"/>
          <w:tab w:val="left" w:pos="0"/>
          <w:tab w:val="left" w:pos="198"/>
          <w:tab w:val="left" w:pos="378"/>
          <w:tab w:val="left" w:pos="720"/>
          <w:tab w:val="left" w:pos="1098"/>
        </w:tabs>
        <w:rPr>
          <w:sz w:val="24"/>
        </w:rPr>
      </w:pPr>
      <w:r w:rsidRPr="009B4D64">
        <w:rPr>
          <w:sz w:val="24"/>
        </w:rPr>
        <w:t>E</w:t>
      </w:r>
      <w:r w:rsidR="003F4580" w:rsidRPr="009B4D64">
        <w:rPr>
          <w:sz w:val="24"/>
        </w:rPr>
        <w:t xml:space="preserve">stimates for SIS Construction and ROW were based on the </w:t>
      </w:r>
      <w:r w:rsidR="001B030F" w:rsidRPr="009B4D64">
        <w:rPr>
          <w:sz w:val="24"/>
        </w:rPr>
        <w:t xml:space="preserve">SIS </w:t>
      </w:r>
      <w:r w:rsidR="006966CB">
        <w:rPr>
          <w:sz w:val="24"/>
        </w:rPr>
        <w:t xml:space="preserve">Long Range </w:t>
      </w:r>
      <w:r w:rsidR="00B86B12">
        <w:rPr>
          <w:sz w:val="24"/>
        </w:rPr>
        <w:t>Cost Feasible</w:t>
      </w:r>
      <w:r w:rsidRPr="009B4D64">
        <w:rPr>
          <w:sz w:val="24"/>
        </w:rPr>
        <w:t xml:space="preserve"> Plan</w:t>
      </w:r>
      <w:r w:rsidR="003A7FEF">
        <w:rPr>
          <w:sz w:val="24"/>
        </w:rPr>
        <w:t>, 2013 Edition</w:t>
      </w:r>
      <w:r w:rsidR="003F4580" w:rsidRPr="009B4D64">
        <w:rPr>
          <w:sz w:val="24"/>
        </w:rPr>
        <w:t xml:space="preserve">. Because of the evolving nature of the SIS, estimates for the Rail, Aviation, Seaports and Intermodal Access programs </w:t>
      </w:r>
      <w:r w:rsidRPr="009B4D64">
        <w:rPr>
          <w:sz w:val="24"/>
        </w:rPr>
        <w:t xml:space="preserve">will not be available until </w:t>
      </w:r>
      <w:r w:rsidR="001B030F" w:rsidRPr="009B4D64">
        <w:rPr>
          <w:sz w:val="24"/>
        </w:rPr>
        <w:t>a</w:t>
      </w:r>
      <w:r w:rsidRPr="009B4D64">
        <w:rPr>
          <w:sz w:val="24"/>
        </w:rPr>
        <w:t xml:space="preserve"> SIS Cost Feasible Plan </w:t>
      </w:r>
      <w:r w:rsidR="001B030F" w:rsidRPr="009B4D64">
        <w:rPr>
          <w:sz w:val="24"/>
        </w:rPr>
        <w:t xml:space="preserve">for all SIS modes </w:t>
      </w:r>
      <w:r w:rsidRPr="009B4D64">
        <w:rPr>
          <w:sz w:val="24"/>
        </w:rPr>
        <w:t>is completed</w:t>
      </w:r>
      <w:r w:rsidR="003F4580" w:rsidRPr="009B4D64">
        <w:rPr>
          <w:sz w:val="24"/>
        </w:rPr>
        <w:t xml:space="preserve">. </w:t>
      </w:r>
    </w:p>
    <w:p w:rsidR="003F4580" w:rsidRPr="009B4D64" w:rsidRDefault="003F4580" w:rsidP="002378AC">
      <w:pPr>
        <w:tabs>
          <w:tab w:val="left" w:pos="-720"/>
          <w:tab w:val="left" w:pos="0"/>
          <w:tab w:val="left" w:pos="198"/>
          <w:tab w:val="left" w:pos="378"/>
          <w:tab w:val="left" w:pos="720"/>
          <w:tab w:val="left" w:pos="1098"/>
        </w:tabs>
        <w:rPr>
          <w:sz w:val="24"/>
        </w:rPr>
      </w:pPr>
    </w:p>
    <w:p w:rsidR="00F2531A" w:rsidRPr="009B4D64" w:rsidRDefault="003F4580" w:rsidP="00716CFD">
      <w:pPr>
        <w:keepNext/>
        <w:keepLines/>
        <w:rPr>
          <w:sz w:val="24"/>
        </w:rPr>
      </w:pPr>
      <w:r w:rsidRPr="009B4D64">
        <w:rPr>
          <w:sz w:val="24"/>
        </w:rPr>
        <w:lastRenderedPageBreak/>
        <w:t xml:space="preserve">FDOT districts developed metropolitan estimates consistent with district shares of the statewide forecast, adjusted as needed to account for issues such as metropolitan area boundaries (e.g., differences between </w:t>
      </w:r>
      <w:r w:rsidR="00E22253" w:rsidRPr="009B4D64">
        <w:rPr>
          <w:sz w:val="24"/>
        </w:rPr>
        <w:t xml:space="preserve">metropolitan area boundaries and </w:t>
      </w:r>
      <w:r w:rsidRPr="009B4D64">
        <w:rPr>
          <w:sz w:val="24"/>
        </w:rPr>
        <w:t>county bounda</w:t>
      </w:r>
      <w:r w:rsidR="00E22253" w:rsidRPr="009B4D64">
        <w:rPr>
          <w:sz w:val="24"/>
        </w:rPr>
        <w:t>ries).  The estimates for this metropolitan a</w:t>
      </w:r>
      <w:r w:rsidRPr="009B4D64">
        <w:rPr>
          <w:sz w:val="24"/>
        </w:rPr>
        <w:t xml:space="preserve">rea are included in Table </w:t>
      </w:r>
      <w:r w:rsidR="002222D8" w:rsidRPr="009B4D64">
        <w:rPr>
          <w:sz w:val="24"/>
        </w:rPr>
        <w:t>4</w:t>
      </w:r>
      <w:r w:rsidRPr="009B4D64">
        <w:rPr>
          <w:sz w:val="24"/>
        </w:rPr>
        <w:t>.</w:t>
      </w:r>
      <w:r w:rsidR="004E5CC1">
        <w:rPr>
          <w:sz w:val="24"/>
        </w:rPr>
        <w:t xml:space="preserve"> Table 4a contains estimates of TMA funds.</w:t>
      </w:r>
    </w:p>
    <w:p w:rsidR="00716CFD" w:rsidRPr="009B4D64" w:rsidRDefault="00716CFD" w:rsidP="00716CFD">
      <w:pPr>
        <w:jc w:val="center"/>
        <w:rPr>
          <w:b/>
          <w:sz w:val="24"/>
        </w:rPr>
      </w:pPr>
    </w:p>
    <w:p w:rsidR="00716CFD" w:rsidRPr="009B4D64" w:rsidRDefault="00716CFD" w:rsidP="00716CFD">
      <w:pPr>
        <w:jc w:val="center"/>
        <w:rPr>
          <w:rFonts w:ascii="Calibri" w:hAnsi="Calibri"/>
          <w:b/>
          <w:sz w:val="24"/>
        </w:rPr>
      </w:pPr>
      <w:r w:rsidRPr="009B4D64">
        <w:rPr>
          <w:rFonts w:ascii="Calibri" w:hAnsi="Calibri"/>
          <w:b/>
          <w:sz w:val="24"/>
        </w:rPr>
        <w:t>Table 4</w:t>
      </w:r>
      <w:r>
        <w:rPr>
          <w:rFonts w:ascii="Calibri" w:hAnsi="Calibri"/>
          <w:b/>
          <w:sz w:val="24"/>
        </w:rPr>
        <w:t xml:space="preserve"> </w:t>
      </w:r>
    </w:p>
    <w:p w:rsidR="00716CFD" w:rsidRPr="009B4D64" w:rsidRDefault="00716CFD" w:rsidP="00716CFD">
      <w:pPr>
        <w:jc w:val="center"/>
        <w:rPr>
          <w:rFonts w:ascii="Calibri" w:hAnsi="Calibri"/>
          <w:b/>
          <w:sz w:val="24"/>
        </w:rPr>
      </w:pPr>
      <w:r w:rsidRPr="009B4D64">
        <w:rPr>
          <w:rFonts w:ascii="Calibri" w:hAnsi="Calibri"/>
          <w:b/>
          <w:sz w:val="24"/>
        </w:rPr>
        <w:t>Metropolitan Area Capacity Program Estimates</w:t>
      </w:r>
    </w:p>
    <w:p w:rsidR="00716CFD" w:rsidRPr="009B4D64" w:rsidRDefault="00716CFD" w:rsidP="00716CFD">
      <w:pPr>
        <w:jc w:val="center"/>
        <w:rPr>
          <w:rFonts w:ascii="Calibri" w:hAnsi="Calibri"/>
          <w:b/>
          <w:sz w:val="24"/>
        </w:rPr>
      </w:pPr>
      <w:r w:rsidRPr="009B4D64">
        <w:rPr>
          <w:rFonts w:ascii="Calibri" w:hAnsi="Calibri"/>
          <w:b/>
          <w:sz w:val="24"/>
        </w:rPr>
        <w:t xml:space="preserve">State and Federal Funds from the </w:t>
      </w:r>
      <w:r>
        <w:rPr>
          <w:rFonts w:ascii="Calibri" w:hAnsi="Calibri"/>
          <w:b/>
          <w:sz w:val="24"/>
        </w:rPr>
        <w:t>2040</w:t>
      </w:r>
      <w:r w:rsidRPr="009B4D64">
        <w:rPr>
          <w:rFonts w:ascii="Calibri" w:hAnsi="Calibri"/>
          <w:b/>
          <w:sz w:val="24"/>
        </w:rPr>
        <w:t xml:space="preserve"> Revenue Forecast (Millions of Dollars)</w:t>
      </w:r>
    </w:p>
    <w:p w:rsidR="00716CFD" w:rsidRPr="009B4D64" w:rsidRDefault="00716CFD" w:rsidP="00716CFD">
      <w:pPr>
        <w:rPr>
          <w:rFonts w:ascii="Calibri" w:hAnsi="Calibri"/>
          <w:b/>
          <w:sz w:val="24"/>
        </w:rPr>
      </w:pPr>
    </w:p>
    <w:tbl>
      <w:tblPr>
        <w:tblW w:w="9771" w:type="dxa"/>
        <w:jc w:val="center"/>
        <w:tblLook w:val="0000" w:firstRow="0" w:lastRow="0" w:firstColumn="0" w:lastColumn="0" w:noHBand="0" w:noVBand="0"/>
      </w:tblPr>
      <w:tblGrid>
        <w:gridCol w:w="3173"/>
        <w:gridCol w:w="1350"/>
        <w:gridCol w:w="1260"/>
        <w:gridCol w:w="1350"/>
        <w:gridCol w:w="1260"/>
        <w:gridCol w:w="1378"/>
      </w:tblGrid>
      <w:tr w:rsidR="00716CFD" w:rsidRPr="009B4D64" w:rsidTr="00BC6A12">
        <w:trPr>
          <w:trHeight w:val="315"/>
          <w:jc w:val="center"/>
        </w:trPr>
        <w:tc>
          <w:tcPr>
            <w:tcW w:w="9771" w:type="dxa"/>
            <w:gridSpan w:val="6"/>
            <w:tcBorders>
              <w:top w:val="nil"/>
              <w:left w:val="nil"/>
              <w:bottom w:val="nil"/>
              <w:right w:val="nil"/>
            </w:tcBorders>
            <w:shd w:val="clear" w:color="auto" w:fill="auto"/>
            <w:noWrap/>
            <w:vAlign w:val="bottom"/>
          </w:tcPr>
          <w:p w:rsidR="00716CFD" w:rsidRPr="00BA05EA" w:rsidRDefault="00716CFD" w:rsidP="00D778D3">
            <w:pPr>
              <w:rPr>
                <w:rFonts w:ascii="Calibri" w:hAnsi="Calibri"/>
                <w:szCs w:val="20"/>
              </w:rPr>
            </w:pPr>
            <w:r w:rsidRPr="00BA05EA">
              <w:rPr>
                <w:rFonts w:ascii="Calibri" w:hAnsi="Calibri"/>
                <w:szCs w:val="20"/>
              </w:rPr>
              <w:t xml:space="preserve">Estimates for </w:t>
            </w:r>
            <w:r w:rsidR="00217D61" w:rsidRPr="00D778D3">
              <w:rPr>
                <w:rFonts w:ascii="Calibri" w:hAnsi="Calibri"/>
                <w:szCs w:val="20"/>
              </w:rPr>
              <w:t>CRTPA</w:t>
            </w:r>
          </w:p>
        </w:tc>
      </w:tr>
      <w:tr w:rsidR="00716CFD" w:rsidRPr="009B4D64" w:rsidTr="00BC6A12">
        <w:trPr>
          <w:trHeight w:val="288"/>
          <w:jc w:val="center"/>
        </w:trPr>
        <w:tc>
          <w:tcPr>
            <w:tcW w:w="3173"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716CFD" w:rsidRPr="00BA05EA" w:rsidRDefault="00716CFD" w:rsidP="00716CFD">
            <w:pPr>
              <w:rPr>
                <w:rFonts w:ascii="Calibri" w:hAnsi="Calibri"/>
                <w:b/>
                <w:bCs/>
              </w:rPr>
            </w:pPr>
            <w:r w:rsidRPr="00BA05EA">
              <w:rPr>
                <w:rFonts w:ascii="Calibri" w:hAnsi="Calibri"/>
                <w:b/>
                <w:bCs/>
              </w:rPr>
              <w:t>Capacity Programs*</w:t>
            </w:r>
          </w:p>
        </w:tc>
        <w:tc>
          <w:tcPr>
            <w:tcW w:w="5220" w:type="dxa"/>
            <w:gridSpan w:val="4"/>
            <w:tcBorders>
              <w:top w:val="single" w:sz="12" w:space="0" w:color="auto"/>
              <w:left w:val="single" w:sz="4" w:space="0" w:color="auto"/>
              <w:bottom w:val="single" w:sz="4" w:space="0" w:color="auto"/>
              <w:right w:val="single" w:sz="4" w:space="0" w:color="auto"/>
            </w:tcBorders>
            <w:shd w:val="clear" w:color="auto" w:fill="auto"/>
            <w:noWrap/>
            <w:vAlign w:val="bottom"/>
          </w:tcPr>
          <w:p w:rsidR="00716CFD" w:rsidRPr="00BA05EA" w:rsidRDefault="00716CFD" w:rsidP="00716CFD">
            <w:pPr>
              <w:jc w:val="center"/>
              <w:rPr>
                <w:rFonts w:ascii="Calibri" w:hAnsi="Calibri"/>
                <w:b/>
                <w:bCs/>
              </w:rPr>
            </w:pPr>
            <w:r w:rsidRPr="00BA05EA">
              <w:rPr>
                <w:rFonts w:ascii="Calibri" w:hAnsi="Calibri"/>
                <w:b/>
                <w:bCs/>
              </w:rPr>
              <w:t>5-Year Period (Fiscal Years)</w:t>
            </w:r>
          </w:p>
        </w:tc>
        <w:tc>
          <w:tcPr>
            <w:tcW w:w="1378" w:type="dxa"/>
            <w:tcBorders>
              <w:top w:val="single" w:sz="12" w:space="0" w:color="auto"/>
              <w:left w:val="single" w:sz="4" w:space="0" w:color="auto"/>
              <w:bottom w:val="single" w:sz="4" w:space="0" w:color="auto"/>
              <w:right w:val="single" w:sz="12" w:space="0" w:color="auto"/>
            </w:tcBorders>
            <w:shd w:val="clear" w:color="auto" w:fill="auto"/>
            <w:vAlign w:val="bottom"/>
          </w:tcPr>
          <w:p w:rsidR="00716CFD" w:rsidRPr="00BA05EA" w:rsidRDefault="00716CFD" w:rsidP="00716CFD">
            <w:pPr>
              <w:jc w:val="center"/>
              <w:rPr>
                <w:rFonts w:ascii="Calibri" w:hAnsi="Calibri"/>
                <w:b/>
                <w:bCs/>
              </w:rPr>
            </w:pPr>
            <w:r w:rsidRPr="00BA05EA">
              <w:rPr>
                <w:rFonts w:ascii="Calibri" w:hAnsi="Calibri"/>
                <w:b/>
                <w:bCs/>
              </w:rPr>
              <w:t>22-Year Total</w:t>
            </w:r>
          </w:p>
        </w:tc>
      </w:tr>
      <w:tr w:rsidR="004E5C34" w:rsidRPr="009B4D64" w:rsidTr="00BC6A12">
        <w:trPr>
          <w:trHeight w:val="315"/>
          <w:jc w:val="center"/>
        </w:trPr>
        <w:tc>
          <w:tcPr>
            <w:tcW w:w="3173" w:type="dxa"/>
            <w:vMerge/>
            <w:tcBorders>
              <w:top w:val="single" w:sz="12" w:space="0" w:color="auto"/>
              <w:left w:val="single" w:sz="12" w:space="0" w:color="auto"/>
              <w:bottom w:val="single" w:sz="4" w:space="0" w:color="000000"/>
              <w:right w:val="single" w:sz="4" w:space="0" w:color="auto"/>
            </w:tcBorders>
            <w:vAlign w:val="center"/>
          </w:tcPr>
          <w:p w:rsidR="004E5C34" w:rsidRPr="00BA05EA" w:rsidRDefault="004E5C34" w:rsidP="00716CFD">
            <w:pPr>
              <w:rPr>
                <w:rFonts w:ascii="Calibri" w:hAnsi="Calibri"/>
                <w:b/>
                <w:bCs/>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E5C34" w:rsidRPr="00BA05EA" w:rsidRDefault="004E5C34" w:rsidP="004E5C34">
            <w:pPr>
              <w:jc w:val="right"/>
              <w:rPr>
                <w:rFonts w:ascii="Calibri" w:hAnsi="Calibri"/>
                <w:b/>
                <w:szCs w:val="20"/>
              </w:rPr>
            </w:pPr>
            <w:r>
              <w:rPr>
                <w:rFonts w:ascii="Calibri" w:hAnsi="Calibri"/>
                <w:b/>
                <w:szCs w:val="20"/>
              </w:rPr>
              <w:t>2019</w:t>
            </w:r>
            <w:r w:rsidRPr="00BA05EA">
              <w:rPr>
                <w:rFonts w:ascii="Calibri" w:hAnsi="Calibri"/>
                <w:b/>
                <w:szCs w:val="20"/>
              </w:rPr>
              <w:t>-2</w:t>
            </w:r>
            <w:r>
              <w:rPr>
                <w:rFonts w:ascii="Calibri" w:hAnsi="Calibri"/>
                <w:b/>
                <w:szCs w:val="20"/>
              </w:rPr>
              <w:t>020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sidRPr="00BA05EA">
              <w:rPr>
                <w:rFonts w:ascii="Calibri" w:hAnsi="Calibri"/>
                <w:b/>
                <w:bCs/>
                <w:szCs w:val="20"/>
              </w:rPr>
              <w:t>2021-25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BA05EA">
              <w:rPr>
                <w:rFonts w:ascii="Calibri" w:hAnsi="Calibri"/>
                <w:b/>
                <w:bCs/>
                <w:szCs w:val="20"/>
              </w:rPr>
              <w:t>-30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378" w:type="dxa"/>
            <w:tcBorders>
              <w:top w:val="single" w:sz="4" w:space="0" w:color="auto"/>
              <w:left w:val="nil"/>
              <w:bottom w:val="single" w:sz="4" w:space="0" w:color="auto"/>
              <w:right w:val="single" w:sz="12" w:space="0" w:color="auto"/>
            </w:tcBorders>
            <w:shd w:val="clear" w:color="auto" w:fill="auto"/>
            <w:noWrap/>
            <w:vAlign w:val="center"/>
          </w:tcPr>
          <w:p w:rsidR="004E5C34" w:rsidRPr="00BA05EA" w:rsidRDefault="004E5C34" w:rsidP="004E5C34">
            <w:pPr>
              <w:jc w:val="right"/>
              <w:rPr>
                <w:rFonts w:ascii="Calibri" w:hAnsi="Calibri"/>
                <w:b/>
                <w:szCs w:val="20"/>
              </w:rPr>
            </w:pPr>
            <w:r>
              <w:rPr>
                <w:rFonts w:ascii="Calibri" w:hAnsi="Calibri"/>
                <w:b/>
                <w:szCs w:val="20"/>
              </w:rPr>
              <w:t>2019-2040</w:t>
            </w:r>
          </w:p>
        </w:tc>
      </w:tr>
      <w:tr w:rsidR="00864191"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864191" w:rsidRPr="00BA05EA" w:rsidRDefault="00864191" w:rsidP="00716CFD">
            <w:pPr>
              <w:rPr>
                <w:rFonts w:ascii="Calibri" w:hAnsi="Calibri"/>
                <w:szCs w:val="20"/>
              </w:rPr>
            </w:pPr>
            <w:r>
              <w:rPr>
                <w:rFonts w:ascii="Calibri" w:hAnsi="Calibri"/>
                <w:szCs w:val="20"/>
              </w:rPr>
              <w:t>SIS Highways</w:t>
            </w:r>
            <w:r w:rsidRPr="00BA05EA">
              <w:rPr>
                <w:rFonts w:ascii="Calibri" w:hAnsi="Calibri"/>
                <w:szCs w:val="20"/>
              </w:rPr>
              <w:t xml:space="preserve"> Construction &amp; ROW</w:t>
            </w:r>
          </w:p>
        </w:tc>
        <w:tc>
          <w:tcPr>
            <w:tcW w:w="1350" w:type="dxa"/>
            <w:tcBorders>
              <w:top w:val="nil"/>
              <w:left w:val="nil"/>
              <w:bottom w:val="single" w:sz="4" w:space="0" w:color="auto"/>
              <w:right w:val="single" w:sz="4" w:space="0" w:color="auto"/>
            </w:tcBorders>
            <w:shd w:val="clear" w:color="auto" w:fill="auto"/>
            <w:noWrap/>
            <w:vAlign w:val="bottom"/>
          </w:tcPr>
          <w:p w:rsidR="00864191" w:rsidRPr="00445197" w:rsidRDefault="00D63306" w:rsidP="00864191">
            <w:pPr>
              <w:jc w:val="right"/>
              <w:rPr>
                <w:rFonts w:ascii="Calibri" w:hAnsi="Calibri"/>
                <w:szCs w:val="20"/>
                <w:highlight w:val="yellow"/>
              </w:rPr>
            </w:pPr>
            <w:r>
              <w:rPr>
                <w:rFonts w:ascii="Calibri" w:hAnsi="Calibri"/>
                <w:szCs w:val="20"/>
                <w:highlight w:val="yellow"/>
              </w:rPr>
              <w:t>14.94</w:t>
            </w:r>
          </w:p>
        </w:tc>
        <w:tc>
          <w:tcPr>
            <w:tcW w:w="1260" w:type="dxa"/>
            <w:tcBorders>
              <w:top w:val="nil"/>
              <w:left w:val="nil"/>
              <w:bottom w:val="single" w:sz="4" w:space="0" w:color="auto"/>
              <w:right w:val="single" w:sz="4" w:space="0" w:color="auto"/>
            </w:tcBorders>
            <w:shd w:val="clear" w:color="auto" w:fill="auto"/>
            <w:noWrap/>
            <w:vAlign w:val="bottom"/>
          </w:tcPr>
          <w:p w:rsidR="00864191" w:rsidRPr="00445197" w:rsidRDefault="00D63306" w:rsidP="004E5C34">
            <w:pPr>
              <w:jc w:val="right"/>
              <w:rPr>
                <w:rFonts w:ascii="Calibri" w:hAnsi="Calibri"/>
                <w:szCs w:val="20"/>
                <w:highlight w:val="yellow"/>
              </w:rPr>
            </w:pPr>
            <w:r>
              <w:rPr>
                <w:rFonts w:ascii="Calibri" w:hAnsi="Calibri"/>
                <w:szCs w:val="20"/>
                <w:highlight w:val="yellow"/>
              </w:rPr>
              <w:t>61.50</w:t>
            </w:r>
          </w:p>
        </w:tc>
        <w:tc>
          <w:tcPr>
            <w:tcW w:w="1350" w:type="dxa"/>
            <w:tcBorders>
              <w:top w:val="nil"/>
              <w:left w:val="nil"/>
              <w:bottom w:val="single" w:sz="4" w:space="0" w:color="auto"/>
              <w:right w:val="single" w:sz="4" w:space="0" w:color="auto"/>
            </w:tcBorders>
            <w:shd w:val="clear" w:color="auto" w:fill="auto"/>
            <w:noWrap/>
            <w:vAlign w:val="bottom"/>
          </w:tcPr>
          <w:p w:rsidR="00864191" w:rsidRPr="00445197" w:rsidRDefault="00D63306" w:rsidP="004E5C34">
            <w:pPr>
              <w:jc w:val="right"/>
              <w:rPr>
                <w:rFonts w:ascii="Calibri" w:hAnsi="Calibri"/>
                <w:szCs w:val="20"/>
                <w:highlight w:val="yellow"/>
              </w:rPr>
            </w:pPr>
            <w:r>
              <w:rPr>
                <w:rFonts w:ascii="Calibri" w:hAnsi="Calibri"/>
                <w:szCs w:val="20"/>
                <w:highlight w:val="yellow"/>
              </w:rPr>
              <w:t>148.99</w:t>
            </w:r>
          </w:p>
        </w:tc>
        <w:tc>
          <w:tcPr>
            <w:tcW w:w="1260" w:type="dxa"/>
            <w:tcBorders>
              <w:top w:val="nil"/>
              <w:left w:val="nil"/>
              <w:bottom w:val="single" w:sz="4" w:space="0" w:color="auto"/>
              <w:right w:val="single" w:sz="4" w:space="0" w:color="auto"/>
            </w:tcBorders>
            <w:shd w:val="clear" w:color="auto" w:fill="auto"/>
            <w:noWrap/>
            <w:vAlign w:val="bottom"/>
          </w:tcPr>
          <w:p w:rsidR="00864191" w:rsidRPr="00445197" w:rsidRDefault="00D63306" w:rsidP="004E5C34">
            <w:pPr>
              <w:jc w:val="right"/>
              <w:rPr>
                <w:rFonts w:ascii="Calibri" w:hAnsi="Calibri"/>
                <w:szCs w:val="20"/>
                <w:highlight w:val="yellow"/>
              </w:rPr>
            </w:pPr>
            <w:r>
              <w:rPr>
                <w:rFonts w:ascii="Calibri" w:hAnsi="Calibri"/>
                <w:szCs w:val="20"/>
                <w:highlight w:val="yellow"/>
              </w:rPr>
              <w:t>0.00</w:t>
            </w:r>
          </w:p>
        </w:tc>
        <w:tc>
          <w:tcPr>
            <w:tcW w:w="1378" w:type="dxa"/>
            <w:tcBorders>
              <w:top w:val="nil"/>
              <w:left w:val="nil"/>
              <w:bottom w:val="single" w:sz="4" w:space="0" w:color="auto"/>
              <w:right w:val="single" w:sz="12" w:space="0" w:color="auto"/>
            </w:tcBorders>
            <w:shd w:val="clear" w:color="auto" w:fill="auto"/>
            <w:noWrap/>
            <w:vAlign w:val="bottom"/>
          </w:tcPr>
          <w:p w:rsidR="00864191" w:rsidRPr="00445197" w:rsidRDefault="00D63306" w:rsidP="00716CFD">
            <w:pPr>
              <w:jc w:val="right"/>
              <w:rPr>
                <w:rFonts w:ascii="Calibri" w:hAnsi="Calibri"/>
                <w:szCs w:val="20"/>
                <w:highlight w:val="yellow"/>
              </w:rPr>
            </w:pPr>
            <w:r>
              <w:rPr>
                <w:rFonts w:ascii="Calibri" w:hAnsi="Calibri"/>
                <w:szCs w:val="20"/>
                <w:highlight w:val="yellow"/>
              </w:rPr>
              <w:t>225.43</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Other Arterials Construction &amp; ROW</w:t>
            </w:r>
          </w:p>
        </w:tc>
        <w:tc>
          <w:tcPr>
            <w:tcW w:w="135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26.95</w:t>
            </w:r>
          </w:p>
        </w:tc>
        <w:tc>
          <w:tcPr>
            <w:tcW w:w="126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60.35</w:t>
            </w:r>
          </w:p>
        </w:tc>
        <w:tc>
          <w:tcPr>
            <w:tcW w:w="135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57.04</w:t>
            </w:r>
          </w:p>
        </w:tc>
        <w:tc>
          <w:tcPr>
            <w:tcW w:w="126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124.87</w:t>
            </w:r>
          </w:p>
        </w:tc>
        <w:tc>
          <w:tcPr>
            <w:tcW w:w="1378" w:type="dxa"/>
            <w:tcBorders>
              <w:top w:val="nil"/>
              <w:left w:val="nil"/>
              <w:bottom w:val="single" w:sz="4" w:space="0" w:color="auto"/>
              <w:right w:val="single" w:sz="12" w:space="0" w:color="auto"/>
            </w:tcBorders>
            <w:shd w:val="clear" w:color="auto" w:fill="auto"/>
            <w:noWrap/>
            <w:vAlign w:val="bottom"/>
          </w:tcPr>
          <w:p w:rsidR="004E5C34" w:rsidRPr="00445197" w:rsidRDefault="00217D61" w:rsidP="00716CFD">
            <w:pPr>
              <w:jc w:val="right"/>
              <w:rPr>
                <w:rFonts w:ascii="Calibri" w:hAnsi="Calibri"/>
                <w:szCs w:val="20"/>
                <w:highlight w:val="yellow"/>
              </w:rPr>
            </w:pPr>
            <w:r>
              <w:rPr>
                <w:rFonts w:ascii="Calibri" w:hAnsi="Calibri"/>
                <w:szCs w:val="20"/>
                <w:highlight w:val="yellow"/>
              </w:rPr>
              <w:t>269.21</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Transit</w:t>
            </w:r>
          </w:p>
        </w:tc>
        <w:tc>
          <w:tcPr>
            <w:tcW w:w="135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15.40</w:t>
            </w:r>
          </w:p>
        </w:tc>
        <w:tc>
          <w:tcPr>
            <w:tcW w:w="126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39.90</w:t>
            </w:r>
          </w:p>
        </w:tc>
        <w:tc>
          <w:tcPr>
            <w:tcW w:w="135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42.00</w:t>
            </w:r>
          </w:p>
        </w:tc>
        <w:tc>
          <w:tcPr>
            <w:tcW w:w="1260" w:type="dxa"/>
            <w:tcBorders>
              <w:top w:val="nil"/>
              <w:left w:val="nil"/>
              <w:bottom w:val="single" w:sz="4" w:space="0" w:color="auto"/>
              <w:right w:val="single" w:sz="4" w:space="0" w:color="auto"/>
            </w:tcBorders>
            <w:shd w:val="clear" w:color="auto" w:fill="auto"/>
            <w:noWrap/>
            <w:vAlign w:val="bottom"/>
          </w:tcPr>
          <w:p w:rsidR="004E5C34" w:rsidRPr="00445197" w:rsidRDefault="00217D61" w:rsidP="004E5C34">
            <w:pPr>
              <w:jc w:val="right"/>
              <w:rPr>
                <w:rFonts w:ascii="Calibri" w:hAnsi="Calibri"/>
                <w:szCs w:val="20"/>
                <w:highlight w:val="yellow"/>
              </w:rPr>
            </w:pPr>
            <w:r>
              <w:rPr>
                <w:rFonts w:ascii="Calibri" w:hAnsi="Calibri"/>
                <w:szCs w:val="20"/>
                <w:highlight w:val="yellow"/>
              </w:rPr>
              <w:t>87.90</w:t>
            </w:r>
          </w:p>
        </w:tc>
        <w:tc>
          <w:tcPr>
            <w:tcW w:w="1378" w:type="dxa"/>
            <w:tcBorders>
              <w:top w:val="nil"/>
              <w:left w:val="nil"/>
              <w:bottom w:val="single" w:sz="4" w:space="0" w:color="auto"/>
              <w:right w:val="single" w:sz="12" w:space="0" w:color="auto"/>
            </w:tcBorders>
            <w:shd w:val="clear" w:color="auto" w:fill="auto"/>
            <w:noWrap/>
            <w:vAlign w:val="bottom"/>
          </w:tcPr>
          <w:p w:rsidR="004E5C34" w:rsidRPr="00445197" w:rsidRDefault="00217D61" w:rsidP="00716CFD">
            <w:pPr>
              <w:jc w:val="right"/>
              <w:rPr>
                <w:rFonts w:ascii="Calibri" w:hAnsi="Calibri"/>
                <w:szCs w:val="20"/>
                <w:highlight w:val="yellow"/>
              </w:rPr>
            </w:pPr>
            <w:r>
              <w:rPr>
                <w:rFonts w:ascii="Calibri" w:hAnsi="Calibri"/>
                <w:szCs w:val="20"/>
                <w:highlight w:val="yellow"/>
              </w:rPr>
              <w:t>185.20</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Aviation</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78" w:type="dxa"/>
            <w:tcBorders>
              <w:top w:val="nil"/>
              <w:left w:val="nil"/>
              <w:bottom w:val="single" w:sz="4" w:space="0" w:color="auto"/>
              <w:right w:val="single" w:sz="12" w:space="0" w:color="auto"/>
            </w:tcBorders>
            <w:shd w:val="clear" w:color="auto" w:fill="auto"/>
            <w:noWrap/>
            <w:vAlign w:val="bottom"/>
          </w:tcPr>
          <w:p w:rsidR="004E5C34" w:rsidRPr="00BA05EA" w:rsidRDefault="004E5C34" w:rsidP="00716CFD">
            <w:pPr>
              <w:jc w:val="right"/>
              <w:rPr>
                <w:rFonts w:ascii="Calibri" w:hAnsi="Calibri"/>
                <w:szCs w:val="20"/>
              </w:rPr>
            </w:pPr>
            <w:r w:rsidRPr="00BA05EA">
              <w:rPr>
                <w:rFonts w:ascii="Calibri" w:hAnsi="Calibri"/>
                <w:szCs w:val="20"/>
              </w:rPr>
              <w:t>N/A</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Rail</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78" w:type="dxa"/>
            <w:tcBorders>
              <w:top w:val="nil"/>
              <w:left w:val="nil"/>
              <w:bottom w:val="single" w:sz="4" w:space="0" w:color="auto"/>
              <w:right w:val="single" w:sz="12" w:space="0" w:color="auto"/>
            </w:tcBorders>
            <w:shd w:val="clear" w:color="auto" w:fill="auto"/>
            <w:noWrap/>
            <w:vAlign w:val="bottom"/>
          </w:tcPr>
          <w:p w:rsidR="004E5C34" w:rsidRPr="00BA05EA" w:rsidRDefault="004E5C34" w:rsidP="00716CFD">
            <w:pPr>
              <w:jc w:val="right"/>
              <w:rPr>
                <w:rFonts w:ascii="Calibri" w:hAnsi="Calibri"/>
                <w:szCs w:val="20"/>
              </w:rPr>
            </w:pPr>
            <w:r w:rsidRPr="00BA05EA">
              <w:rPr>
                <w:rFonts w:ascii="Calibri" w:hAnsi="Calibri"/>
                <w:szCs w:val="20"/>
              </w:rPr>
              <w:t>N/A</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Seaports</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78" w:type="dxa"/>
            <w:tcBorders>
              <w:top w:val="nil"/>
              <w:left w:val="nil"/>
              <w:bottom w:val="single" w:sz="4" w:space="0" w:color="auto"/>
              <w:right w:val="single" w:sz="12" w:space="0" w:color="auto"/>
            </w:tcBorders>
            <w:shd w:val="clear" w:color="auto" w:fill="auto"/>
            <w:noWrap/>
            <w:vAlign w:val="bottom"/>
          </w:tcPr>
          <w:p w:rsidR="004E5C34" w:rsidRPr="00BA05EA" w:rsidRDefault="004E5C34" w:rsidP="00716CFD">
            <w:pPr>
              <w:jc w:val="right"/>
              <w:rPr>
                <w:rFonts w:ascii="Calibri" w:hAnsi="Calibri"/>
                <w:szCs w:val="20"/>
              </w:rPr>
            </w:pPr>
            <w:r w:rsidRPr="00BA05EA">
              <w:rPr>
                <w:rFonts w:ascii="Calibri" w:hAnsi="Calibri"/>
                <w:szCs w:val="20"/>
              </w:rPr>
              <w:t>N/A</w:t>
            </w:r>
          </w:p>
        </w:tc>
      </w:tr>
      <w:tr w:rsidR="004E5C34" w:rsidRPr="009B4D64" w:rsidTr="00BC6A12">
        <w:trPr>
          <w:trHeight w:val="300"/>
          <w:jc w:val="center"/>
        </w:trPr>
        <w:tc>
          <w:tcPr>
            <w:tcW w:w="3173" w:type="dxa"/>
            <w:tcBorders>
              <w:top w:val="nil"/>
              <w:left w:val="single" w:sz="12" w:space="0" w:color="auto"/>
              <w:bottom w:val="single" w:sz="4" w:space="0" w:color="auto"/>
              <w:right w:val="single" w:sz="4" w:space="0" w:color="auto"/>
            </w:tcBorders>
            <w:shd w:val="clear" w:color="auto" w:fill="auto"/>
            <w:noWrap/>
            <w:vAlign w:val="bottom"/>
          </w:tcPr>
          <w:p w:rsidR="004E5C34" w:rsidRPr="00BA05EA" w:rsidRDefault="004E5C34" w:rsidP="00716CFD">
            <w:pPr>
              <w:rPr>
                <w:rFonts w:ascii="Calibri" w:hAnsi="Calibri"/>
                <w:szCs w:val="20"/>
              </w:rPr>
            </w:pPr>
            <w:r w:rsidRPr="00BA05EA">
              <w:rPr>
                <w:rFonts w:ascii="Calibri" w:hAnsi="Calibri"/>
                <w:szCs w:val="20"/>
              </w:rPr>
              <w:t>Intermodal Access</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5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260" w:type="dxa"/>
            <w:tcBorders>
              <w:top w:val="nil"/>
              <w:left w:val="nil"/>
              <w:bottom w:val="single" w:sz="4" w:space="0" w:color="auto"/>
              <w:right w:val="single" w:sz="4" w:space="0" w:color="auto"/>
            </w:tcBorders>
            <w:shd w:val="clear" w:color="auto" w:fill="auto"/>
            <w:noWrap/>
            <w:vAlign w:val="bottom"/>
          </w:tcPr>
          <w:p w:rsidR="004E5C34" w:rsidRPr="00BA05EA" w:rsidRDefault="004E5C34" w:rsidP="004E5C34">
            <w:pPr>
              <w:jc w:val="right"/>
              <w:rPr>
                <w:rFonts w:ascii="Calibri" w:hAnsi="Calibri"/>
                <w:szCs w:val="20"/>
              </w:rPr>
            </w:pPr>
            <w:r w:rsidRPr="00BA05EA">
              <w:rPr>
                <w:rFonts w:ascii="Calibri" w:hAnsi="Calibri"/>
                <w:szCs w:val="20"/>
              </w:rPr>
              <w:t>N/A</w:t>
            </w:r>
          </w:p>
        </w:tc>
        <w:tc>
          <w:tcPr>
            <w:tcW w:w="1378" w:type="dxa"/>
            <w:tcBorders>
              <w:top w:val="nil"/>
              <w:left w:val="nil"/>
              <w:bottom w:val="single" w:sz="4" w:space="0" w:color="auto"/>
              <w:right w:val="single" w:sz="12" w:space="0" w:color="auto"/>
            </w:tcBorders>
            <w:shd w:val="clear" w:color="auto" w:fill="auto"/>
            <w:noWrap/>
            <w:vAlign w:val="bottom"/>
          </w:tcPr>
          <w:p w:rsidR="004E5C34" w:rsidRPr="00BA05EA" w:rsidRDefault="004E5C34" w:rsidP="00716CFD">
            <w:pPr>
              <w:jc w:val="right"/>
              <w:rPr>
                <w:rFonts w:ascii="Calibri" w:hAnsi="Calibri"/>
                <w:szCs w:val="20"/>
              </w:rPr>
            </w:pPr>
            <w:r w:rsidRPr="00BA05EA">
              <w:rPr>
                <w:rFonts w:ascii="Calibri" w:hAnsi="Calibri"/>
                <w:szCs w:val="20"/>
              </w:rPr>
              <w:t>N/A</w:t>
            </w:r>
          </w:p>
        </w:tc>
      </w:tr>
      <w:tr w:rsidR="004E5C34" w:rsidRPr="008252C7" w:rsidTr="00BC6A12">
        <w:trPr>
          <w:trHeight w:val="330"/>
          <w:jc w:val="center"/>
        </w:trPr>
        <w:tc>
          <w:tcPr>
            <w:tcW w:w="3173" w:type="dxa"/>
            <w:tcBorders>
              <w:top w:val="nil"/>
              <w:left w:val="single" w:sz="12" w:space="0" w:color="auto"/>
              <w:bottom w:val="single" w:sz="12" w:space="0" w:color="auto"/>
              <w:right w:val="single" w:sz="4" w:space="0" w:color="auto"/>
            </w:tcBorders>
            <w:shd w:val="clear" w:color="auto" w:fill="auto"/>
            <w:noWrap/>
            <w:vAlign w:val="bottom"/>
          </w:tcPr>
          <w:p w:rsidR="004E5C34" w:rsidRPr="008252C7" w:rsidRDefault="004E5C34" w:rsidP="00716CFD">
            <w:pPr>
              <w:rPr>
                <w:rFonts w:ascii="Calibri" w:hAnsi="Calibri"/>
                <w:b/>
                <w:bCs/>
                <w:szCs w:val="20"/>
              </w:rPr>
            </w:pPr>
            <w:r w:rsidRPr="008252C7">
              <w:rPr>
                <w:rFonts w:ascii="Calibri" w:hAnsi="Calibri"/>
                <w:b/>
                <w:bCs/>
                <w:szCs w:val="20"/>
              </w:rPr>
              <w:t>Total Capacity Programs</w:t>
            </w:r>
          </w:p>
        </w:tc>
        <w:tc>
          <w:tcPr>
            <w:tcW w:w="1350" w:type="dxa"/>
            <w:tcBorders>
              <w:top w:val="nil"/>
              <w:left w:val="nil"/>
              <w:bottom w:val="single" w:sz="12" w:space="0" w:color="auto"/>
              <w:right w:val="single" w:sz="4" w:space="0" w:color="auto"/>
            </w:tcBorders>
            <w:shd w:val="clear" w:color="auto" w:fill="auto"/>
            <w:noWrap/>
            <w:vAlign w:val="bottom"/>
          </w:tcPr>
          <w:p w:rsidR="004E5C34" w:rsidRPr="008252C7" w:rsidRDefault="00D63306" w:rsidP="004E5C34">
            <w:pPr>
              <w:jc w:val="right"/>
              <w:rPr>
                <w:rFonts w:ascii="Calibri" w:hAnsi="Calibri"/>
                <w:b/>
                <w:color w:val="000000"/>
                <w:szCs w:val="20"/>
                <w:highlight w:val="yellow"/>
              </w:rPr>
            </w:pPr>
            <w:r>
              <w:rPr>
                <w:rFonts w:ascii="Calibri" w:hAnsi="Calibri"/>
                <w:b/>
                <w:bCs/>
                <w:color w:val="000000"/>
                <w:szCs w:val="20"/>
                <w:highlight w:val="yellow"/>
              </w:rPr>
              <w:t>57.29</w:t>
            </w:r>
          </w:p>
        </w:tc>
        <w:tc>
          <w:tcPr>
            <w:tcW w:w="1260" w:type="dxa"/>
            <w:tcBorders>
              <w:top w:val="nil"/>
              <w:left w:val="nil"/>
              <w:bottom w:val="single" w:sz="12" w:space="0" w:color="auto"/>
              <w:right w:val="single" w:sz="4" w:space="0" w:color="auto"/>
            </w:tcBorders>
            <w:shd w:val="clear" w:color="auto" w:fill="auto"/>
            <w:noWrap/>
            <w:vAlign w:val="bottom"/>
          </w:tcPr>
          <w:p w:rsidR="004E5C34" w:rsidRPr="008252C7" w:rsidRDefault="00D63306" w:rsidP="004E5C34">
            <w:pPr>
              <w:jc w:val="right"/>
              <w:rPr>
                <w:rFonts w:ascii="Calibri" w:hAnsi="Calibri"/>
                <w:b/>
                <w:color w:val="000000"/>
                <w:szCs w:val="20"/>
                <w:highlight w:val="yellow"/>
              </w:rPr>
            </w:pPr>
            <w:r>
              <w:rPr>
                <w:rFonts w:ascii="Calibri" w:hAnsi="Calibri"/>
                <w:b/>
                <w:bCs/>
                <w:color w:val="000000"/>
                <w:szCs w:val="20"/>
                <w:highlight w:val="yellow"/>
              </w:rPr>
              <w:t>161.75</w:t>
            </w:r>
          </w:p>
        </w:tc>
        <w:tc>
          <w:tcPr>
            <w:tcW w:w="1350" w:type="dxa"/>
            <w:tcBorders>
              <w:top w:val="nil"/>
              <w:left w:val="nil"/>
              <w:bottom w:val="single" w:sz="12" w:space="0" w:color="auto"/>
              <w:right w:val="single" w:sz="4" w:space="0" w:color="auto"/>
            </w:tcBorders>
            <w:shd w:val="clear" w:color="auto" w:fill="auto"/>
            <w:noWrap/>
            <w:vAlign w:val="bottom"/>
          </w:tcPr>
          <w:p w:rsidR="004E5C34" w:rsidRPr="008252C7" w:rsidRDefault="00D63306" w:rsidP="004E5C34">
            <w:pPr>
              <w:jc w:val="right"/>
              <w:rPr>
                <w:rFonts w:ascii="Calibri" w:hAnsi="Calibri"/>
                <w:b/>
                <w:color w:val="000000"/>
                <w:szCs w:val="20"/>
                <w:highlight w:val="yellow"/>
              </w:rPr>
            </w:pPr>
            <w:r>
              <w:rPr>
                <w:rFonts w:ascii="Calibri" w:hAnsi="Calibri"/>
                <w:b/>
                <w:bCs/>
                <w:color w:val="000000"/>
                <w:szCs w:val="20"/>
                <w:highlight w:val="yellow"/>
              </w:rPr>
              <w:t>248.03</w:t>
            </w:r>
          </w:p>
        </w:tc>
        <w:tc>
          <w:tcPr>
            <w:tcW w:w="1260" w:type="dxa"/>
            <w:tcBorders>
              <w:top w:val="nil"/>
              <w:left w:val="nil"/>
              <w:bottom w:val="single" w:sz="12" w:space="0" w:color="auto"/>
              <w:right w:val="single" w:sz="4" w:space="0" w:color="auto"/>
            </w:tcBorders>
            <w:shd w:val="clear" w:color="auto" w:fill="auto"/>
            <w:noWrap/>
            <w:vAlign w:val="bottom"/>
          </w:tcPr>
          <w:p w:rsidR="004E5C34" w:rsidRPr="008252C7" w:rsidRDefault="00D63306" w:rsidP="004E5C34">
            <w:pPr>
              <w:jc w:val="right"/>
              <w:rPr>
                <w:rFonts w:ascii="Calibri" w:hAnsi="Calibri"/>
                <w:b/>
                <w:color w:val="000000"/>
                <w:szCs w:val="20"/>
                <w:highlight w:val="yellow"/>
              </w:rPr>
            </w:pPr>
            <w:r>
              <w:rPr>
                <w:rFonts w:ascii="Calibri" w:hAnsi="Calibri"/>
                <w:b/>
                <w:bCs/>
                <w:color w:val="000000"/>
                <w:szCs w:val="20"/>
                <w:highlight w:val="yellow"/>
              </w:rPr>
              <w:t>212.77</w:t>
            </w:r>
          </w:p>
        </w:tc>
        <w:tc>
          <w:tcPr>
            <w:tcW w:w="1378" w:type="dxa"/>
            <w:tcBorders>
              <w:top w:val="nil"/>
              <w:left w:val="nil"/>
              <w:bottom w:val="single" w:sz="12" w:space="0" w:color="auto"/>
              <w:right w:val="single" w:sz="12" w:space="0" w:color="auto"/>
            </w:tcBorders>
            <w:shd w:val="clear" w:color="auto" w:fill="auto"/>
            <w:noWrap/>
            <w:vAlign w:val="bottom"/>
          </w:tcPr>
          <w:p w:rsidR="004E5C34" w:rsidRPr="008252C7" w:rsidRDefault="00D63306" w:rsidP="00716CFD">
            <w:pPr>
              <w:jc w:val="right"/>
              <w:rPr>
                <w:rFonts w:ascii="Calibri" w:hAnsi="Calibri"/>
                <w:b/>
                <w:color w:val="000000"/>
                <w:szCs w:val="20"/>
                <w:highlight w:val="yellow"/>
              </w:rPr>
            </w:pPr>
            <w:r>
              <w:rPr>
                <w:rFonts w:ascii="Calibri" w:hAnsi="Calibri"/>
                <w:b/>
                <w:bCs/>
                <w:color w:val="000000"/>
                <w:szCs w:val="20"/>
                <w:highlight w:val="yellow"/>
              </w:rPr>
              <w:t>679.84</w:t>
            </w:r>
          </w:p>
        </w:tc>
      </w:tr>
    </w:tbl>
    <w:p w:rsidR="00716CFD" w:rsidRPr="009B4D64" w:rsidRDefault="00716CFD" w:rsidP="00716CFD">
      <w:pPr>
        <w:tabs>
          <w:tab w:val="left" w:pos="-1080"/>
          <w:tab w:val="left" w:pos="-720"/>
          <w:tab w:val="left" w:pos="0"/>
          <w:tab w:val="left" w:pos="360"/>
        </w:tabs>
        <w:ind w:left="360"/>
        <w:rPr>
          <w:rFonts w:ascii="Calibri" w:hAnsi="Calibri"/>
          <w:szCs w:val="20"/>
        </w:rPr>
      </w:pPr>
      <w:r w:rsidRPr="009B4D64">
        <w:rPr>
          <w:rFonts w:ascii="Calibri" w:hAnsi="Calibri"/>
          <w:szCs w:val="20"/>
        </w:rPr>
        <w:t>* Notes:</w:t>
      </w:r>
    </w:p>
    <w:p w:rsidR="00716CFD" w:rsidRPr="009B4D64" w:rsidRDefault="00716CFD" w:rsidP="00716CFD">
      <w:pPr>
        <w:numPr>
          <w:ilvl w:val="0"/>
          <w:numId w:val="1"/>
        </w:numPr>
        <w:tabs>
          <w:tab w:val="left" w:pos="-1080"/>
          <w:tab w:val="left" w:pos="-720"/>
          <w:tab w:val="left" w:pos="0"/>
          <w:tab w:val="left" w:pos="360"/>
        </w:tabs>
        <w:rPr>
          <w:rFonts w:ascii="Calibri" w:hAnsi="Calibri"/>
          <w:szCs w:val="20"/>
        </w:rPr>
      </w:pPr>
      <w:r>
        <w:rPr>
          <w:rFonts w:ascii="Calibri" w:hAnsi="Calibri"/>
          <w:szCs w:val="20"/>
        </w:rPr>
        <w:t>Estimates for 2014</w:t>
      </w:r>
      <w:r w:rsidRPr="009B4D64">
        <w:rPr>
          <w:rFonts w:ascii="Calibri" w:hAnsi="Calibri"/>
          <w:szCs w:val="20"/>
        </w:rPr>
        <w:t xml:space="preserve"> through </w:t>
      </w:r>
      <w:r>
        <w:rPr>
          <w:rFonts w:ascii="Calibri" w:hAnsi="Calibri"/>
          <w:szCs w:val="20"/>
        </w:rPr>
        <w:t>2018</w:t>
      </w:r>
      <w:r w:rsidRPr="009B4D64">
        <w:rPr>
          <w:rFonts w:ascii="Calibri" w:hAnsi="Calibri"/>
          <w:szCs w:val="20"/>
        </w:rPr>
        <w:t xml:space="preserve"> are contained in the </w:t>
      </w:r>
      <w:r>
        <w:rPr>
          <w:rFonts w:ascii="Calibri" w:hAnsi="Calibri"/>
          <w:szCs w:val="20"/>
        </w:rPr>
        <w:t>FDOT Adopted</w:t>
      </w:r>
      <w:r w:rsidRPr="009B4D64">
        <w:rPr>
          <w:rFonts w:ascii="Calibri" w:hAnsi="Calibri"/>
          <w:szCs w:val="20"/>
        </w:rPr>
        <w:t xml:space="preserve"> Work Program.</w:t>
      </w:r>
    </w:p>
    <w:p w:rsidR="00716CFD" w:rsidRDefault="00716CFD" w:rsidP="00716CFD">
      <w:pPr>
        <w:numPr>
          <w:ilvl w:val="0"/>
          <w:numId w:val="1"/>
        </w:numPr>
        <w:tabs>
          <w:tab w:val="left" w:pos="-1080"/>
          <w:tab w:val="left" w:pos="-720"/>
          <w:tab w:val="left" w:pos="0"/>
          <w:tab w:val="left" w:pos="360"/>
        </w:tabs>
        <w:rPr>
          <w:rFonts w:ascii="Calibri" w:hAnsi="Calibri"/>
          <w:szCs w:val="20"/>
        </w:rPr>
      </w:pPr>
      <w:r>
        <w:rPr>
          <w:rFonts w:ascii="Calibri" w:hAnsi="Calibri"/>
          <w:szCs w:val="20"/>
        </w:rPr>
        <w:t>No metropolitan estimates for Aviation, Rail, Seaport Development and Intermodal Access programs for years beyond 2018 have been developed</w:t>
      </w:r>
      <w:r w:rsidRPr="009B4D64">
        <w:rPr>
          <w:rFonts w:ascii="Calibri" w:hAnsi="Calibri"/>
          <w:szCs w:val="20"/>
        </w:rPr>
        <w:t>.</w:t>
      </w:r>
    </w:p>
    <w:p w:rsidR="00716CFD" w:rsidRPr="009B4D64" w:rsidRDefault="00716CFD" w:rsidP="00716CFD">
      <w:pPr>
        <w:numPr>
          <w:ilvl w:val="0"/>
          <w:numId w:val="1"/>
        </w:numPr>
        <w:tabs>
          <w:tab w:val="left" w:pos="-1080"/>
          <w:tab w:val="left" w:pos="-720"/>
          <w:tab w:val="left" w:pos="0"/>
          <w:tab w:val="left" w:pos="360"/>
        </w:tabs>
        <w:rPr>
          <w:rFonts w:ascii="Calibri" w:hAnsi="Calibri"/>
          <w:szCs w:val="20"/>
        </w:rPr>
      </w:pPr>
      <w:r>
        <w:rPr>
          <w:rFonts w:ascii="Calibri" w:hAnsi="Calibri"/>
          <w:szCs w:val="20"/>
        </w:rPr>
        <w:t>Sources for SIS Highways</w:t>
      </w:r>
      <w:r w:rsidRPr="008C725A">
        <w:rPr>
          <w:rFonts w:ascii="Calibri" w:hAnsi="Calibri"/>
          <w:szCs w:val="20"/>
        </w:rPr>
        <w:t xml:space="preserve"> Construction &amp; ROW: SIS </w:t>
      </w:r>
      <w:r>
        <w:rPr>
          <w:rFonts w:ascii="Calibri" w:hAnsi="Calibri"/>
          <w:szCs w:val="20"/>
        </w:rPr>
        <w:t>Approved 2</w:t>
      </w:r>
      <w:r w:rsidRPr="00CD083F">
        <w:rPr>
          <w:rFonts w:ascii="Calibri" w:hAnsi="Calibri"/>
          <w:szCs w:val="20"/>
          <w:vertAlign w:val="superscript"/>
        </w:rPr>
        <w:t>nd</w:t>
      </w:r>
      <w:r>
        <w:rPr>
          <w:rFonts w:ascii="Calibri" w:hAnsi="Calibri"/>
          <w:szCs w:val="20"/>
        </w:rPr>
        <w:t xml:space="preserve"> 5-Year Plan, 2040 SIS Cost Feasible Plan.</w:t>
      </w:r>
    </w:p>
    <w:p w:rsidR="008933DA" w:rsidRDefault="008933DA" w:rsidP="002378AC">
      <w:pPr>
        <w:rPr>
          <w:rFonts w:ascii="Calibri" w:hAnsi="Calibri"/>
          <w:szCs w:val="20"/>
        </w:rPr>
      </w:pPr>
    </w:p>
    <w:p w:rsidR="00864191" w:rsidRDefault="00864191" w:rsidP="002378AC">
      <w:pPr>
        <w:rPr>
          <w:rFonts w:ascii="Calibri" w:hAnsi="Calibri"/>
          <w:szCs w:val="20"/>
        </w:rPr>
      </w:pPr>
    </w:p>
    <w:p w:rsidR="008933DA" w:rsidRPr="009B4D64" w:rsidRDefault="008933DA" w:rsidP="008933DA">
      <w:pPr>
        <w:jc w:val="center"/>
        <w:rPr>
          <w:rFonts w:ascii="Calibri" w:hAnsi="Calibri"/>
          <w:b/>
          <w:sz w:val="24"/>
        </w:rPr>
      </w:pPr>
      <w:r w:rsidRPr="009B4D64">
        <w:rPr>
          <w:rFonts w:ascii="Calibri" w:hAnsi="Calibri"/>
          <w:b/>
          <w:sz w:val="24"/>
        </w:rPr>
        <w:t xml:space="preserve">Table </w:t>
      </w:r>
      <w:r>
        <w:rPr>
          <w:rFonts w:ascii="Calibri" w:hAnsi="Calibri"/>
          <w:b/>
          <w:sz w:val="24"/>
        </w:rPr>
        <w:t xml:space="preserve">4a </w:t>
      </w:r>
    </w:p>
    <w:p w:rsidR="008933DA" w:rsidRPr="009B4D64" w:rsidRDefault="008933DA" w:rsidP="008933DA">
      <w:pPr>
        <w:jc w:val="center"/>
        <w:rPr>
          <w:rFonts w:ascii="Calibri" w:hAnsi="Calibri"/>
          <w:b/>
          <w:sz w:val="24"/>
        </w:rPr>
      </w:pPr>
      <w:r>
        <w:rPr>
          <w:rFonts w:ascii="Calibri" w:hAnsi="Calibri"/>
          <w:b/>
          <w:sz w:val="24"/>
        </w:rPr>
        <w:t>Transportation Management Area (TMA) Funds</w:t>
      </w:r>
      <w:r w:rsidRPr="009B4D64">
        <w:rPr>
          <w:rFonts w:ascii="Calibri" w:hAnsi="Calibri"/>
          <w:b/>
          <w:sz w:val="24"/>
        </w:rPr>
        <w:t xml:space="preserve"> Estimates</w:t>
      </w:r>
      <w:r w:rsidR="00BE4A5C">
        <w:rPr>
          <w:rFonts w:ascii="Calibri" w:hAnsi="Calibri"/>
          <w:b/>
          <w:sz w:val="24"/>
        </w:rPr>
        <w:t xml:space="preserve"> </w:t>
      </w:r>
    </w:p>
    <w:p w:rsidR="008933DA" w:rsidRPr="009B4D64" w:rsidRDefault="008933DA" w:rsidP="008933DA">
      <w:pPr>
        <w:jc w:val="center"/>
        <w:rPr>
          <w:rFonts w:ascii="Calibri" w:hAnsi="Calibri"/>
          <w:b/>
          <w:sz w:val="24"/>
        </w:rPr>
      </w:pPr>
      <w:r w:rsidRPr="009B4D64">
        <w:rPr>
          <w:rFonts w:ascii="Calibri" w:hAnsi="Calibri"/>
          <w:b/>
          <w:sz w:val="24"/>
        </w:rPr>
        <w:t xml:space="preserve">State and Federal Funds </w:t>
      </w:r>
      <w:r>
        <w:rPr>
          <w:rFonts w:ascii="Calibri" w:hAnsi="Calibri"/>
          <w:b/>
          <w:sz w:val="24"/>
        </w:rPr>
        <w:t>from the 2040</w:t>
      </w:r>
      <w:r w:rsidRPr="009B4D64">
        <w:rPr>
          <w:rFonts w:ascii="Calibri" w:hAnsi="Calibri"/>
          <w:b/>
          <w:sz w:val="24"/>
        </w:rPr>
        <w:t xml:space="preserve"> Revenue Forecast (Millions of Dollars)</w:t>
      </w:r>
    </w:p>
    <w:p w:rsidR="008933DA" w:rsidRPr="009B4D64" w:rsidRDefault="008933DA" w:rsidP="008933DA">
      <w:pPr>
        <w:rPr>
          <w:rFonts w:ascii="Calibri" w:hAnsi="Calibri"/>
          <w:sz w:val="24"/>
        </w:rPr>
      </w:pPr>
    </w:p>
    <w:tbl>
      <w:tblPr>
        <w:tblW w:w="9126" w:type="dxa"/>
        <w:jc w:val="center"/>
        <w:tblLook w:val="0000" w:firstRow="0" w:lastRow="0" w:firstColumn="0" w:lastColumn="0" w:noHBand="0" w:noVBand="0"/>
      </w:tblPr>
      <w:tblGrid>
        <w:gridCol w:w="3393"/>
        <w:gridCol w:w="1080"/>
        <w:gridCol w:w="990"/>
        <w:gridCol w:w="1080"/>
        <w:gridCol w:w="1125"/>
        <w:gridCol w:w="1458"/>
      </w:tblGrid>
      <w:tr w:rsidR="008933DA" w:rsidRPr="009B4D64" w:rsidTr="00434C69">
        <w:trPr>
          <w:trHeight w:val="420"/>
          <w:jc w:val="center"/>
        </w:trPr>
        <w:tc>
          <w:tcPr>
            <w:tcW w:w="3393"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8933DA" w:rsidRPr="00D778D3" w:rsidRDefault="00217D61" w:rsidP="00D778D3">
            <w:pPr>
              <w:rPr>
                <w:rFonts w:ascii="Calibri" w:hAnsi="Calibri"/>
                <w:b/>
                <w:bCs/>
              </w:rPr>
            </w:pPr>
            <w:r w:rsidRPr="00D778D3">
              <w:rPr>
                <w:rFonts w:ascii="Calibri" w:hAnsi="Calibri"/>
                <w:b/>
                <w:szCs w:val="20"/>
              </w:rPr>
              <w:t>CRTPA</w:t>
            </w:r>
          </w:p>
        </w:tc>
        <w:tc>
          <w:tcPr>
            <w:tcW w:w="4275" w:type="dxa"/>
            <w:gridSpan w:val="4"/>
            <w:tcBorders>
              <w:top w:val="single" w:sz="12" w:space="0" w:color="auto"/>
              <w:left w:val="single" w:sz="4" w:space="0" w:color="auto"/>
              <w:right w:val="single" w:sz="4" w:space="0" w:color="000000"/>
            </w:tcBorders>
            <w:tcMar>
              <w:left w:w="43" w:type="dxa"/>
              <w:right w:w="43" w:type="dxa"/>
            </w:tcMar>
            <w:vAlign w:val="center"/>
          </w:tcPr>
          <w:p w:rsidR="008933DA" w:rsidRPr="009B4D64" w:rsidRDefault="008933DA" w:rsidP="008818A1">
            <w:pPr>
              <w:jc w:val="center"/>
              <w:rPr>
                <w:rFonts w:ascii="Calibri" w:hAnsi="Calibri"/>
                <w:b/>
                <w:bCs/>
              </w:rPr>
            </w:pPr>
            <w:r w:rsidRPr="009B4D64">
              <w:rPr>
                <w:rFonts w:ascii="Calibri" w:hAnsi="Calibri"/>
                <w:b/>
                <w:bCs/>
              </w:rPr>
              <w:t>5-Year Period (Fiscal Years)</w:t>
            </w:r>
          </w:p>
        </w:tc>
        <w:tc>
          <w:tcPr>
            <w:tcW w:w="1458" w:type="dxa"/>
            <w:tcBorders>
              <w:top w:val="single" w:sz="12" w:space="0" w:color="auto"/>
              <w:left w:val="single" w:sz="4" w:space="0" w:color="auto"/>
              <w:bottom w:val="single" w:sz="4" w:space="0" w:color="000000"/>
              <w:right w:val="single" w:sz="12" w:space="0" w:color="auto"/>
            </w:tcBorders>
            <w:shd w:val="clear" w:color="auto" w:fill="auto"/>
            <w:tcMar>
              <w:left w:w="43" w:type="dxa"/>
              <w:right w:w="43" w:type="dxa"/>
            </w:tcMar>
            <w:vAlign w:val="center"/>
          </w:tcPr>
          <w:p w:rsidR="008933DA" w:rsidRPr="00434C69" w:rsidRDefault="008933DA" w:rsidP="008818A1">
            <w:pPr>
              <w:tabs>
                <w:tab w:val="left" w:pos="-1080"/>
                <w:tab w:val="left" w:pos="-720"/>
                <w:tab w:val="left" w:pos="0"/>
                <w:tab w:val="left" w:pos="360"/>
              </w:tabs>
              <w:jc w:val="center"/>
              <w:rPr>
                <w:rFonts w:ascii="Calibri" w:hAnsi="Calibri"/>
                <w:b/>
                <w:bCs/>
                <w:szCs w:val="20"/>
              </w:rPr>
            </w:pPr>
            <w:r w:rsidRPr="00434C69">
              <w:rPr>
                <w:rFonts w:ascii="Calibri" w:hAnsi="Calibri"/>
                <w:b/>
                <w:bCs/>
                <w:szCs w:val="20"/>
              </w:rPr>
              <w:t>22-Year Total</w:t>
            </w:r>
            <w:r w:rsidRPr="00434C69">
              <w:rPr>
                <w:rFonts w:ascii="Calibri" w:hAnsi="Calibri"/>
                <w:szCs w:val="20"/>
                <w:vertAlign w:val="superscript"/>
              </w:rPr>
              <w:t>2</w:t>
            </w:r>
          </w:p>
        </w:tc>
      </w:tr>
      <w:tr w:rsidR="004E5C34" w:rsidRPr="009B4D64" w:rsidTr="00434C69">
        <w:trPr>
          <w:trHeight w:val="315"/>
          <w:jc w:val="center"/>
        </w:trPr>
        <w:tc>
          <w:tcPr>
            <w:tcW w:w="3393" w:type="dxa"/>
            <w:vMerge/>
            <w:tcBorders>
              <w:top w:val="single" w:sz="12" w:space="0" w:color="auto"/>
              <w:left w:val="single" w:sz="12" w:space="0" w:color="auto"/>
              <w:bottom w:val="single" w:sz="4" w:space="0" w:color="000000"/>
              <w:right w:val="single" w:sz="4" w:space="0" w:color="auto"/>
            </w:tcBorders>
            <w:vAlign w:val="center"/>
          </w:tcPr>
          <w:p w:rsidR="004E5C34" w:rsidRPr="009B4D64" w:rsidRDefault="004E5C34" w:rsidP="008818A1">
            <w:pPr>
              <w:rPr>
                <w:rFonts w:ascii="Calibri" w:hAnsi="Calibri"/>
                <w:b/>
                <w:bCs/>
                <w:szCs w:val="20"/>
              </w:rPr>
            </w:pPr>
          </w:p>
        </w:tc>
        <w:tc>
          <w:tcPr>
            <w:tcW w:w="1080" w:type="dxa"/>
            <w:tcBorders>
              <w:top w:val="single" w:sz="4" w:space="0" w:color="000000"/>
              <w:left w:val="nil"/>
              <w:bottom w:val="single" w:sz="4" w:space="0" w:color="auto"/>
              <w:right w:val="single" w:sz="4" w:space="0" w:color="auto"/>
            </w:tcBorders>
            <w:noWrap/>
            <w:tcMar>
              <w:left w:w="43" w:type="dxa"/>
              <w:right w:w="43" w:type="dxa"/>
            </w:tcMar>
            <w:vAlign w:val="center"/>
          </w:tcPr>
          <w:p w:rsidR="004E5C34" w:rsidRPr="009B4D64" w:rsidRDefault="004E5C34" w:rsidP="004E5C34">
            <w:pPr>
              <w:tabs>
                <w:tab w:val="left" w:pos="-1080"/>
                <w:tab w:val="left" w:pos="-720"/>
                <w:tab w:val="left" w:pos="0"/>
                <w:tab w:val="left" w:pos="360"/>
              </w:tabs>
              <w:jc w:val="right"/>
              <w:rPr>
                <w:rFonts w:ascii="Calibri" w:hAnsi="Calibri"/>
                <w:b/>
                <w:bCs/>
                <w:szCs w:val="20"/>
              </w:rPr>
            </w:pPr>
            <w:r>
              <w:rPr>
                <w:rFonts w:ascii="Calibri" w:hAnsi="Calibri"/>
                <w:b/>
                <w:bCs/>
                <w:szCs w:val="20"/>
              </w:rPr>
              <w:t>2019</w:t>
            </w:r>
            <w:r w:rsidRPr="009B4D64">
              <w:rPr>
                <w:rFonts w:ascii="Calibri" w:hAnsi="Calibri"/>
                <w:b/>
                <w:bCs/>
                <w:szCs w:val="20"/>
              </w:rPr>
              <w:t>-</w:t>
            </w:r>
            <w:r>
              <w:rPr>
                <w:rFonts w:ascii="Calibri" w:hAnsi="Calibri"/>
                <w:b/>
                <w:bCs/>
                <w:szCs w:val="20"/>
              </w:rPr>
              <w:t>20</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sidRPr="00BA05EA">
              <w:rPr>
                <w:rFonts w:ascii="Calibri" w:hAnsi="Calibri"/>
                <w:b/>
                <w:bCs/>
                <w:szCs w:val="20"/>
              </w:rPr>
              <w:t>2021-25</w:t>
            </w:r>
          </w:p>
        </w:tc>
        <w:tc>
          <w:tcPr>
            <w:tcW w:w="108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BA05EA">
              <w:rPr>
                <w:rFonts w:ascii="Calibri" w:hAnsi="Calibri"/>
                <w:b/>
                <w:bCs/>
                <w:szCs w:val="20"/>
              </w:rPr>
              <w:t>-30</w:t>
            </w:r>
          </w:p>
        </w:tc>
        <w:tc>
          <w:tcPr>
            <w:tcW w:w="112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E5C34" w:rsidRPr="00BA05EA" w:rsidRDefault="004E5C34" w:rsidP="004E5C34">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458" w:type="dxa"/>
            <w:tcBorders>
              <w:top w:val="nil"/>
              <w:left w:val="single" w:sz="4" w:space="0" w:color="auto"/>
              <w:bottom w:val="single" w:sz="4" w:space="0" w:color="auto"/>
              <w:right w:val="single" w:sz="12" w:space="0" w:color="auto"/>
            </w:tcBorders>
            <w:shd w:val="clear" w:color="auto" w:fill="auto"/>
            <w:noWrap/>
            <w:tcMar>
              <w:left w:w="43" w:type="dxa"/>
              <w:right w:w="43" w:type="dxa"/>
            </w:tcMar>
            <w:vAlign w:val="center"/>
          </w:tcPr>
          <w:p w:rsidR="004E5C34" w:rsidRPr="00BA05EA" w:rsidRDefault="004E5C34" w:rsidP="004E5C34">
            <w:pPr>
              <w:jc w:val="right"/>
              <w:rPr>
                <w:rFonts w:ascii="Calibri" w:hAnsi="Calibri"/>
                <w:b/>
                <w:szCs w:val="20"/>
              </w:rPr>
            </w:pPr>
            <w:r>
              <w:rPr>
                <w:rFonts w:ascii="Calibri" w:hAnsi="Calibri"/>
                <w:b/>
                <w:szCs w:val="20"/>
              </w:rPr>
              <w:t>2019-2040</w:t>
            </w:r>
          </w:p>
        </w:tc>
      </w:tr>
      <w:tr w:rsidR="004E5C34" w:rsidRPr="009B4D64" w:rsidTr="00434C69">
        <w:trPr>
          <w:trHeight w:val="330"/>
          <w:jc w:val="center"/>
        </w:trPr>
        <w:tc>
          <w:tcPr>
            <w:tcW w:w="3393" w:type="dxa"/>
            <w:tcBorders>
              <w:top w:val="nil"/>
              <w:left w:val="single" w:sz="12" w:space="0" w:color="auto"/>
              <w:bottom w:val="single" w:sz="12" w:space="0" w:color="auto"/>
              <w:right w:val="single" w:sz="4" w:space="0" w:color="auto"/>
            </w:tcBorders>
            <w:shd w:val="clear" w:color="auto" w:fill="auto"/>
            <w:noWrap/>
            <w:vAlign w:val="bottom"/>
          </w:tcPr>
          <w:p w:rsidR="004E5C34" w:rsidRPr="009B4D64" w:rsidRDefault="004E5C34" w:rsidP="008818A1">
            <w:pPr>
              <w:rPr>
                <w:rFonts w:ascii="Calibri" w:hAnsi="Calibri"/>
                <w:b/>
                <w:bCs/>
                <w:szCs w:val="20"/>
              </w:rPr>
            </w:pPr>
            <w:r>
              <w:rPr>
                <w:rFonts w:ascii="Calibri" w:hAnsi="Calibri"/>
                <w:b/>
                <w:bCs/>
                <w:szCs w:val="20"/>
              </w:rPr>
              <w:t>TMA Funds</w:t>
            </w:r>
          </w:p>
        </w:tc>
        <w:tc>
          <w:tcPr>
            <w:tcW w:w="1080" w:type="dxa"/>
            <w:tcBorders>
              <w:top w:val="single" w:sz="4" w:space="0" w:color="auto"/>
              <w:left w:val="nil"/>
              <w:bottom w:val="single" w:sz="12" w:space="0" w:color="auto"/>
              <w:right w:val="single" w:sz="4" w:space="0" w:color="auto"/>
            </w:tcBorders>
            <w:vAlign w:val="bottom"/>
          </w:tcPr>
          <w:p w:rsidR="004E5C34" w:rsidRPr="004B5EED" w:rsidRDefault="00217D61" w:rsidP="004E5C34">
            <w:pPr>
              <w:jc w:val="right"/>
              <w:rPr>
                <w:rFonts w:ascii="Calibri" w:hAnsi="Calibri" w:cs="Arial"/>
                <w:b/>
                <w:bCs/>
                <w:highlight w:val="yellow"/>
              </w:rPr>
            </w:pPr>
            <w:r>
              <w:rPr>
                <w:rFonts w:ascii="Calibri" w:hAnsi="Calibri" w:cs="Arial"/>
                <w:b/>
                <w:szCs w:val="20"/>
                <w:highlight w:val="yellow"/>
              </w:rPr>
              <w:t>6.50</w:t>
            </w:r>
          </w:p>
        </w:tc>
        <w:tc>
          <w:tcPr>
            <w:tcW w:w="990" w:type="dxa"/>
            <w:tcBorders>
              <w:top w:val="nil"/>
              <w:left w:val="nil"/>
              <w:bottom w:val="single" w:sz="12" w:space="0" w:color="auto"/>
              <w:right w:val="single" w:sz="4" w:space="0" w:color="auto"/>
            </w:tcBorders>
            <w:shd w:val="clear" w:color="auto" w:fill="auto"/>
            <w:noWrap/>
            <w:vAlign w:val="bottom"/>
          </w:tcPr>
          <w:p w:rsidR="004E5C34" w:rsidRPr="004B5EED" w:rsidRDefault="00217D61" w:rsidP="004E5C34">
            <w:pPr>
              <w:jc w:val="right"/>
              <w:rPr>
                <w:rFonts w:ascii="Calibri" w:hAnsi="Calibri" w:cs="Arial"/>
                <w:b/>
                <w:szCs w:val="20"/>
                <w:highlight w:val="yellow"/>
              </w:rPr>
            </w:pPr>
            <w:r>
              <w:rPr>
                <w:rFonts w:ascii="Calibri" w:hAnsi="Calibri" w:cs="Arial"/>
                <w:b/>
                <w:szCs w:val="20"/>
                <w:highlight w:val="yellow"/>
              </w:rPr>
              <w:t>16.20</w:t>
            </w:r>
          </w:p>
        </w:tc>
        <w:tc>
          <w:tcPr>
            <w:tcW w:w="1080" w:type="dxa"/>
            <w:tcBorders>
              <w:top w:val="nil"/>
              <w:left w:val="nil"/>
              <w:bottom w:val="single" w:sz="12" w:space="0" w:color="auto"/>
              <w:right w:val="single" w:sz="4" w:space="0" w:color="auto"/>
            </w:tcBorders>
            <w:shd w:val="clear" w:color="auto" w:fill="auto"/>
            <w:noWrap/>
            <w:vAlign w:val="bottom"/>
          </w:tcPr>
          <w:p w:rsidR="004E5C34" w:rsidRPr="004B5EED" w:rsidRDefault="00217D61" w:rsidP="004E5C34">
            <w:pPr>
              <w:jc w:val="right"/>
              <w:rPr>
                <w:rFonts w:ascii="Calibri" w:hAnsi="Calibri" w:cs="Arial"/>
                <w:b/>
                <w:szCs w:val="20"/>
                <w:highlight w:val="yellow"/>
              </w:rPr>
            </w:pPr>
            <w:r>
              <w:rPr>
                <w:rFonts w:ascii="Calibri" w:hAnsi="Calibri" w:cs="Arial"/>
                <w:b/>
                <w:szCs w:val="20"/>
                <w:highlight w:val="yellow"/>
              </w:rPr>
              <w:t>16.20</w:t>
            </w:r>
          </w:p>
        </w:tc>
        <w:tc>
          <w:tcPr>
            <w:tcW w:w="1125" w:type="dxa"/>
            <w:tcBorders>
              <w:top w:val="nil"/>
              <w:left w:val="nil"/>
              <w:bottom w:val="single" w:sz="12" w:space="0" w:color="auto"/>
              <w:right w:val="single" w:sz="4" w:space="0" w:color="auto"/>
            </w:tcBorders>
            <w:shd w:val="clear" w:color="auto" w:fill="auto"/>
            <w:noWrap/>
            <w:vAlign w:val="bottom"/>
          </w:tcPr>
          <w:p w:rsidR="004E5C34" w:rsidRPr="004B5EED" w:rsidRDefault="00217D61" w:rsidP="004E5C34">
            <w:pPr>
              <w:jc w:val="right"/>
              <w:rPr>
                <w:rFonts w:ascii="Calibri" w:hAnsi="Calibri" w:cs="Arial"/>
                <w:b/>
                <w:szCs w:val="20"/>
                <w:highlight w:val="yellow"/>
              </w:rPr>
            </w:pPr>
            <w:r>
              <w:rPr>
                <w:rFonts w:ascii="Calibri" w:hAnsi="Calibri" w:cs="Arial"/>
                <w:b/>
                <w:szCs w:val="20"/>
                <w:highlight w:val="yellow"/>
              </w:rPr>
              <w:t>32.40</w:t>
            </w:r>
          </w:p>
        </w:tc>
        <w:tc>
          <w:tcPr>
            <w:tcW w:w="1458" w:type="dxa"/>
            <w:tcBorders>
              <w:top w:val="nil"/>
              <w:left w:val="single" w:sz="4" w:space="0" w:color="auto"/>
              <w:bottom w:val="single" w:sz="12" w:space="0" w:color="auto"/>
              <w:right w:val="single" w:sz="12" w:space="0" w:color="auto"/>
            </w:tcBorders>
            <w:shd w:val="clear" w:color="auto" w:fill="auto"/>
            <w:noWrap/>
            <w:vAlign w:val="bottom"/>
          </w:tcPr>
          <w:p w:rsidR="004E5C34" w:rsidRPr="004B5EED" w:rsidRDefault="00217D61" w:rsidP="008818A1">
            <w:pPr>
              <w:jc w:val="right"/>
              <w:rPr>
                <w:rFonts w:ascii="Calibri" w:hAnsi="Calibri" w:cs="Arial"/>
                <w:b/>
                <w:szCs w:val="20"/>
                <w:highlight w:val="yellow"/>
              </w:rPr>
            </w:pPr>
            <w:r>
              <w:rPr>
                <w:rFonts w:ascii="Calibri" w:hAnsi="Calibri" w:cs="Arial"/>
                <w:b/>
                <w:szCs w:val="20"/>
                <w:highlight w:val="yellow"/>
              </w:rPr>
              <w:t>71.30</w:t>
            </w:r>
          </w:p>
        </w:tc>
      </w:tr>
    </w:tbl>
    <w:p w:rsidR="008933DA" w:rsidRPr="009B4D64" w:rsidRDefault="008933DA" w:rsidP="008933DA">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w:t>
      </w:r>
      <w:r>
        <w:rPr>
          <w:rFonts w:ascii="Calibri" w:hAnsi="Calibri"/>
          <w:szCs w:val="20"/>
        </w:rPr>
        <w:t>Estimates for 2014</w:t>
      </w:r>
      <w:r w:rsidRPr="009B4D64">
        <w:rPr>
          <w:rFonts w:ascii="Calibri" w:hAnsi="Calibri"/>
          <w:szCs w:val="20"/>
        </w:rPr>
        <w:t xml:space="preserve"> through </w:t>
      </w:r>
      <w:r>
        <w:rPr>
          <w:rFonts w:ascii="Calibri" w:hAnsi="Calibri"/>
          <w:szCs w:val="20"/>
        </w:rPr>
        <w:t>2018</w:t>
      </w:r>
      <w:r w:rsidRPr="009B4D64">
        <w:rPr>
          <w:rFonts w:ascii="Calibri" w:hAnsi="Calibri"/>
          <w:szCs w:val="20"/>
        </w:rPr>
        <w:t xml:space="preserve"> are contained in the </w:t>
      </w:r>
      <w:r>
        <w:rPr>
          <w:rFonts w:ascii="Calibri" w:hAnsi="Calibri"/>
          <w:szCs w:val="20"/>
        </w:rPr>
        <w:t>FDOT Adopted</w:t>
      </w:r>
      <w:r w:rsidRPr="009B4D64">
        <w:rPr>
          <w:rFonts w:ascii="Calibri" w:hAnsi="Calibri"/>
          <w:szCs w:val="20"/>
        </w:rPr>
        <w:t xml:space="preserve"> Work Program.</w:t>
      </w:r>
    </w:p>
    <w:p w:rsidR="008933DA" w:rsidRPr="009B4D64" w:rsidRDefault="008933DA" w:rsidP="008933DA">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w:t>
      </w:r>
      <w:r>
        <w:rPr>
          <w:rFonts w:ascii="Calibri" w:hAnsi="Calibri"/>
          <w:szCs w:val="20"/>
        </w:rPr>
        <w:t>Rows</w:t>
      </w:r>
      <w:r w:rsidRPr="009B4D64">
        <w:rPr>
          <w:rFonts w:ascii="Calibri" w:hAnsi="Calibri"/>
          <w:szCs w:val="20"/>
        </w:rPr>
        <w:t xml:space="preserve"> sometimes do not equal the totals due to rounding. </w:t>
      </w:r>
    </w:p>
    <w:p w:rsidR="008933DA" w:rsidRDefault="008933DA" w:rsidP="008933DA">
      <w:pPr>
        <w:jc w:val="center"/>
        <w:rPr>
          <w:rFonts w:ascii="Calibri" w:hAnsi="Calibri"/>
          <w:szCs w:val="20"/>
        </w:rPr>
      </w:pPr>
    </w:p>
    <w:p w:rsidR="0064039B" w:rsidRPr="009B4D64" w:rsidRDefault="00E22253" w:rsidP="0064039B">
      <w:pPr>
        <w:rPr>
          <w:sz w:val="24"/>
        </w:rPr>
      </w:pPr>
      <w:r w:rsidRPr="009B4D64">
        <w:rPr>
          <w:sz w:val="24"/>
        </w:rPr>
        <w:t xml:space="preserve">Annually, </w:t>
      </w:r>
      <w:r w:rsidR="00A344B2">
        <w:rPr>
          <w:sz w:val="24"/>
        </w:rPr>
        <w:t xml:space="preserve">up to </w:t>
      </w:r>
      <w:r w:rsidRPr="009B4D64">
        <w:rPr>
          <w:sz w:val="24"/>
        </w:rPr>
        <w:t xml:space="preserve">$541.75 million </w:t>
      </w:r>
      <w:r w:rsidR="00A344B2">
        <w:rPr>
          <w:sz w:val="24"/>
        </w:rPr>
        <w:t>may</w:t>
      </w:r>
      <w:r w:rsidRPr="009B4D64">
        <w:rPr>
          <w:sz w:val="24"/>
        </w:rPr>
        <w:t xml:space="preserve"> be appropriated from proceeds from the Documentary Stamp Tax</w:t>
      </w:r>
      <w:r w:rsidR="001415AB" w:rsidRPr="009B4D64">
        <w:rPr>
          <w:rStyle w:val="FootnoteReference"/>
        </w:rPr>
        <w:footnoteReference w:id="3"/>
      </w:r>
      <w:r w:rsidR="00864191">
        <w:rPr>
          <w:sz w:val="24"/>
        </w:rPr>
        <w:t xml:space="preserve"> for several major state transportation programs</w:t>
      </w:r>
      <w:r w:rsidRPr="009B4D64">
        <w:rPr>
          <w:sz w:val="24"/>
        </w:rPr>
        <w:t>. T</w:t>
      </w:r>
      <w:r w:rsidR="000D444B" w:rsidRPr="009B4D64">
        <w:rPr>
          <w:sz w:val="24"/>
        </w:rPr>
        <w:t xml:space="preserve">hese funds </w:t>
      </w:r>
      <w:r w:rsidR="002222D8" w:rsidRPr="009B4D64">
        <w:rPr>
          <w:sz w:val="24"/>
        </w:rPr>
        <w:t>are distributed</w:t>
      </w:r>
      <w:r w:rsidR="000D444B" w:rsidRPr="009B4D64">
        <w:rPr>
          <w:sz w:val="24"/>
        </w:rPr>
        <w:t xml:space="preserve"> – according </w:t>
      </w:r>
      <w:r w:rsidRPr="009B4D64">
        <w:rPr>
          <w:sz w:val="24"/>
        </w:rPr>
        <w:t>to formula</w:t>
      </w:r>
      <w:r w:rsidR="000D444B" w:rsidRPr="009B4D64">
        <w:rPr>
          <w:sz w:val="24"/>
        </w:rPr>
        <w:t xml:space="preserve">s defined in </w:t>
      </w:r>
      <w:r w:rsidR="00A344B2">
        <w:rPr>
          <w:sz w:val="24"/>
        </w:rPr>
        <w:t>state law</w:t>
      </w:r>
      <w:r w:rsidR="000D444B" w:rsidRPr="009B4D64">
        <w:rPr>
          <w:sz w:val="24"/>
        </w:rPr>
        <w:t xml:space="preserve"> – to </w:t>
      </w:r>
      <w:r w:rsidRPr="009B4D64">
        <w:rPr>
          <w:sz w:val="24"/>
        </w:rPr>
        <w:t xml:space="preserve">the SIS, the Transportation Regional Incentive Program (TRIP), the New Starts Transit Program, and </w:t>
      </w:r>
      <w:r w:rsidR="00746C67" w:rsidRPr="009B4D64">
        <w:rPr>
          <w:sz w:val="24"/>
        </w:rPr>
        <w:t>the Small County Outreach Program.</w:t>
      </w:r>
      <w:r w:rsidR="006E63F5" w:rsidRPr="009B4D64">
        <w:rPr>
          <w:sz w:val="24"/>
        </w:rPr>
        <w:t xml:space="preserve"> </w:t>
      </w:r>
      <w:r w:rsidR="001415AB" w:rsidRPr="009B4D64">
        <w:rPr>
          <w:sz w:val="24"/>
        </w:rPr>
        <w:t xml:space="preserve">The </w:t>
      </w:r>
      <w:r w:rsidR="00A344B2">
        <w:rPr>
          <w:sz w:val="24"/>
        </w:rPr>
        <w:t>2040</w:t>
      </w:r>
      <w:r w:rsidR="00A344B2" w:rsidRPr="009B4D64">
        <w:rPr>
          <w:sz w:val="24"/>
        </w:rPr>
        <w:t xml:space="preserve"> </w:t>
      </w:r>
      <w:r w:rsidR="00746C67" w:rsidRPr="009B4D64">
        <w:rPr>
          <w:sz w:val="24"/>
        </w:rPr>
        <w:t xml:space="preserve">Revenue Forecast contains estimates of </w:t>
      </w:r>
      <w:r w:rsidR="00A344B2">
        <w:rPr>
          <w:sz w:val="24"/>
        </w:rPr>
        <w:t>Documentary Stamp Tax</w:t>
      </w:r>
      <w:r w:rsidR="00746C67" w:rsidRPr="009B4D64">
        <w:rPr>
          <w:sz w:val="24"/>
        </w:rPr>
        <w:t xml:space="preserve"> funds not included in </w:t>
      </w:r>
      <w:r w:rsidR="00864191">
        <w:rPr>
          <w:sz w:val="24"/>
        </w:rPr>
        <w:t>the</w:t>
      </w:r>
      <w:r w:rsidR="00864191" w:rsidRPr="009B4D64">
        <w:rPr>
          <w:sz w:val="24"/>
        </w:rPr>
        <w:t xml:space="preserve"> </w:t>
      </w:r>
      <w:r w:rsidR="00A344B2">
        <w:rPr>
          <w:sz w:val="24"/>
        </w:rPr>
        <w:lastRenderedPageBreak/>
        <w:t xml:space="preserve">2014-2018 </w:t>
      </w:r>
      <w:r w:rsidR="00746C67" w:rsidRPr="009B4D64">
        <w:rPr>
          <w:sz w:val="24"/>
        </w:rPr>
        <w:t>Adopted Work Program. Because some MPOs may desire to include projects partially funded by the TRIP and/or New Starts programs in their long range plans as “illustrative projects,” the Department provided separate estimates of these funds.</w:t>
      </w:r>
      <w:r w:rsidR="007F54B5">
        <w:rPr>
          <w:sz w:val="24"/>
        </w:rPr>
        <w:t xml:space="preserve"> </w:t>
      </w:r>
      <w:r w:rsidR="00A344B2">
        <w:rPr>
          <w:sz w:val="24"/>
        </w:rPr>
        <w:t>E</w:t>
      </w:r>
      <w:r w:rsidR="007F54B5">
        <w:rPr>
          <w:sz w:val="24"/>
        </w:rPr>
        <w:t>stimates of TRIP funds are in Table 5. Statewide estimates of New Starts Funds are in Table 6.</w:t>
      </w:r>
    </w:p>
    <w:p w:rsidR="004E5CC1" w:rsidRDefault="004E5CC1" w:rsidP="00032F02">
      <w:pPr>
        <w:rPr>
          <w:sz w:val="24"/>
        </w:rPr>
      </w:pPr>
    </w:p>
    <w:p w:rsidR="008933DA" w:rsidRPr="009B4D64" w:rsidRDefault="008933DA" w:rsidP="008933DA">
      <w:pPr>
        <w:jc w:val="center"/>
        <w:rPr>
          <w:rFonts w:ascii="Calibri" w:hAnsi="Calibri"/>
          <w:b/>
          <w:sz w:val="24"/>
        </w:rPr>
      </w:pPr>
      <w:r w:rsidRPr="009B4D64">
        <w:rPr>
          <w:rFonts w:ascii="Calibri" w:hAnsi="Calibri"/>
          <w:b/>
          <w:sz w:val="24"/>
        </w:rPr>
        <w:t xml:space="preserve">Table </w:t>
      </w:r>
      <w:r>
        <w:rPr>
          <w:rFonts w:ascii="Calibri" w:hAnsi="Calibri"/>
          <w:b/>
          <w:sz w:val="24"/>
        </w:rPr>
        <w:t xml:space="preserve">5 </w:t>
      </w:r>
    </w:p>
    <w:p w:rsidR="008933DA" w:rsidRPr="009B4D64" w:rsidRDefault="008933DA" w:rsidP="008933DA">
      <w:pPr>
        <w:jc w:val="center"/>
        <w:rPr>
          <w:rFonts w:ascii="Calibri" w:hAnsi="Calibri"/>
          <w:b/>
          <w:sz w:val="24"/>
        </w:rPr>
      </w:pPr>
      <w:r>
        <w:rPr>
          <w:rFonts w:ascii="Calibri" w:hAnsi="Calibri"/>
          <w:b/>
          <w:sz w:val="24"/>
        </w:rPr>
        <w:t>Districtwide Transportation Regional Incentive</w:t>
      </w:r>
      <w:r w:rsidRPr="009B4D64">
        <w:rPr>
          <w:rFonts w:ascii="Calibri" w:hAnsi="Calibri"/>
          <w:b/>
          <w:sz w:val="24"/>
        </w:rPr>
        <w:t xml:space="preserve"> Program Estimates</w:t>
      </w:r>
    </w:p>
    <w:p w:rsidR="008933DA" w:rsidRPr="009B4D64" w:rsidRDefault="008933DA" w:rsidP="008933DA">
      <w:pPr>
        <w:jc w:val="center"/>
        <w:rPr>
          <w:rFonts w:ascii="Calibri" w:hAnsi="Calibri"/>
          <w:b/>
          <w:sz w:val="24"/>
        </w:rPr>
      </w:pPr>
      <w:r>
        <w:rPr>
          <w:rFonts w:ascii="Calibri" w:hAnsi="Calibri"/>
          <w:b/>
          <w:sz w:val="24"/>
        </w:rPr>
        <w:t>State Funds from the 2040</w:t>
      </w:r>
      <w:r w:rsidRPr="009B4D64">
        <w:rPr>
          <w:rFonts w:ascii="Calibri" w:hAnsi="Calibri"/>
          <w:b/>
          <w:sz w:val="24"/>
        </w:rPr>
        <w:t xml:space="preserve"> Revenue Forecast (Millions of Dollars)</w:t>
      </w:r>
    </w:p>
    <w:p w:rsidR="008933DA" w:rsidRPr="009B4D64" w:rsidRDefault="008933DA" w:rsidP="008933DA">
      <w:pPr>
        <w:rPr>
          <w:rFonts w:ascii="Calibri" w:hAnsi="Calibri"/>
          <w:sz w:val="24"/>
        </w:rPr>
      </w:pPr>
    </w:p>
    <w:tbl>
      <w:tblPr>
        <w:tblW w:w="9126" w:type="dxa"/>
        <w:jc w:val="center"/>
        <w:tblLook w:val="0000" w:firstRow="0" w:lastRow="0" w:firstColumn="0" w:lastColumn="0" w:noHBand="0" w:noVBand="0"/>
      </w:tblPr>
      <w:tblGrid>
        <w:gridCol w:w="3213"/>
        <w:gridCol w:w="1125"/>
        <w:gridCol w:w="1170"/>
        <w:gridCol w:w="1125"/>
        <w:gridCol w:w="1125"/>
        <w:gridCol w:w="1368"/>
      </w:tblGrid>
      <w:tr w:rsidR="008933DA" w:rsidRPr="009B4D64" w:rsidTr="00434C69">
        <w:trPr>
          <w:trHeight w:val="420"/>
          <w:jc w:val="center"/>
        </w:trPr>
        <w:tc>
          <w:tcPr>
            <w:tcW w:w="3213"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8933DA" w:rsidRPr="009B4D64" w:rsidRDefault="008933DA" w:rsidP="008818A1">
            <w:pPr>
              <w:rPr>
                <w:rFonts w:ascii="Calibri" w:hAnsi="Calibri"/>
                <w:b/>
                <w:bCs/>
              </w:rPr>
            </w:pPr>
            <w:r>
              <w:rPr>
                <w:rFonts w:ascii="Calibri" w:hAnsi="Calibri"/>
                <w:b/>
                <w:bCs/>
              </w:rPr>
              <w:t>FDOT District</w:t>
            </w:r>
          </w:p>
        </w:tc>
        <w:tc>
          <w:tcPr>
            <w:tcW w:w="4545" w:type="dxa"/>
            <w:gridSpan w:val="4"/>
            <w:tcBorders>
              <w:top w:val="single" w:sz="12" w:space="0" w:color="auto"/>
              <w:left w:val="single" w:sz="4" w:space="0" w:color="auto"/>
              <w:right w:val="single" w:sz="4" w:space="0" w:color="000000"/>
            </w:tcBorders>
            <w:tcMar>
              <w:left w:w="43" w:type="dxa"/>
              <w:right w:w="43" w:type="dxa"/>
            </w:tcMar>
            <w:vAlign w:val="center"/>
          </w:tcPr>
          <w:p w:rsidR="008933DA" w:rsidRPr="009B4D64" w:rsidRDefault="008933DA" w:rsidP="008818A1">
            <w:pPr>
              <w:jc w:val="center"/>
              <w:rPr>
                <w:rFonts w:ascii="Calibri" w:hAnsi="Calibri"/>
                <w:b/>
                <w:bCs/>
              </w:rPr>
            </w:pPr>
            <w:r w:rsidRPr="009B4D64">
              <w:rPr>
                <w:rFonts w:ascii="Calibri" w:hAnsi="Calibri"/>
                <w:b/>
                <w:bCs/>
              </w:rPr>
              <w:t>5-Year Period (Fiscal Years)</w:t>
            </w:r>
          </w:p>
        </w:tc>
        <w:tc>
          <w:tcPr>
            <w:tcW w:w="1368" w:type="dxa"/>
            <w:tcBorders>
              <w:top w:val="single" w:sz="12" w:space="0" w:color="auto"/>
              <w:left w:val="single" w:sz="4" w:space="0" w:color="auto"/>
              <w:bottom w:val="single" w:sz="4" w:space="0" w:color="000000"/>
              <w:right w:val="single" w:sz="12" w:space="0" w:color="auto"/>
            </w:tcBorders>
            <w:shd w:val="clear" w:color="auto" w:fill="auto"/>
            <w:tcMar>
              <w:left w:w="43" w:type="dxa"/>
              <w:right w:w="43" w:type="dxa"/>
            </w:tcMar>
            <w:vAlign w:val="center"/>
          </w:tcPr>
          <w:p w:rsidR="008933DA" w:rsidRPr="00434C69" w:rsidRDefault="008933DA" w:rsidP="008818A1">
            <w:pPr>
              <w:tabs>
                <w:tab w:val="left" w:pos="-1080"/>
                <w:tab w:val="left" w:pos="-720"/>
                <w:tab w:val="left" w:pos="0"/>
                <w:tab w:val="left" w:pos="360"/>
              </w:tabs>
              <w:jc w:val="center"/>
              <w:rPr>
                <w:rFonts w:ascii="Calibri" w:hAnsi="Calibri"/>
                <w:b/>
                <w:bCs/>
                <w:szCs w:val="20"/>
              </w:rPr>
            </w:pPr>
            <w:r w:rsidRPr="00434C69">
              <w:rPr>
                <w:rFonts w:ascii="Calibri" w:hAnsi="Calibri"/>
                <w:b/>
                <w:bCs/>
                <w:szCs w:val="20"/>
              </w:rPr>
              <w:t>22-Year Total</w:t>
            </w:r>
            <w:r w:rsidRPr="00434C69">
              <w:rPr>
                <w:rFonts w:ascii="Calibri" w:hAnsi="Calibri"/>
                <w:szCs w:val="20"/>
                <w:vertAlign w:val="superscript"/>
              </w:rPr>
              <w:t>2</w:t>
            </w:r>
          </w:p>
        </w:tc>
      </w:tr>
      <w:tr w:rsidR="00434C69" w:rsidRPr="009B4D64" w:rsidTr="00434C69">
        <w:trPr>
          <w:trHeight w:val="315"/>
          <w:jc w:val="center"/>
        </w:trPr>
        <w:tc>
          <w:tcPr>
            <w:tcW w:w="3213" w:type="dxa"/>
            <w:vMerge/>
            <w:tcBorders>
              <w:top w:val="single" w:sz="12" w:space="0" w:color="auto"/>
              <w:left w:val="single" w:sz="12" w:space="0" w:color="auto"/>
              <w:bottom w:val="single" w:sz="4" w:space="0" w:color="000000"/>
              <w:right w:val="single" w:sz="4" w:space="0" w:color="auto"/>
            </w:tcBorders>
            <w:vAlign w:val="center"/>
          </w:tcPr>
          <w:p w:rsidR="00434C69" w:rsidRPr="009B4D64" w:rsidRDefault="00434C69" w:rsidP="008818A1">
            <w:pPr>
              <w:rPr>
                <w:rFonts w:ascii="Calibri" w:hAnsi="Calibri"/>
                <w:b/>
                <w:bCs/>
                <w:szCs w:val="20"/>
              </w:rPr>
            </w:pPr>
          </w:p>
        </w:tc>
        <w:tc>
          <w:tcPr>
            <w:tcW w:w="1125" w:type="dxa"/>
            <w:tcBorders>
              <w:top w:val="single" w:sz="4" w:space="0" w:color="000000"/>
              <w:left w:val="nil"/>
              <w:bottom w:val="single" w:sz="4" w:space="0" w:color="auto"/>
              <w:right w:val="single" w:sz="4" w:space="0" w:color="auto"/>
            </w:tcBorders>
            <w:noWrap/>
            <w:tcMar>
              <w:left w:w="43" w:type="dxa"/>
              <w:right w:w="43" w:type="dxa"/>
            </w:tcMar>
            <w:vAlign w:val="center"/>
          </w:tcPr>
          <w:p w:rsidR="00434C69" w:rsidRPr="009B4D64" w:rsidRDefault="00434C69" w:rsidP="00434C69">
            <w:pPr>
              <w:tabs>
                <w:tab w:val="left" w:pos="-1080"/>
                <w:tab w:val="left" w:pos="-720"/>
                <w:tab w:val="left" w:pos="0"/>
                <w:tab w:val="left" w:pos="360"/>
              </w:tabs>
              <w:jc w:val="right"/>
              <w:rPr>
                <w:rFonts w:ascii="Calibri" w:hAnsi="Calibri"/>
                <w:b/>
                <w:bCs/>
                <w:szCs w:val="20"/>
              </w:rPr>
            </w:pPr>
            <w:r>
              <w:rPr>
                <w:rFonts w:ascii="Calibri" w:hAnsi="Calibri"/>
                <w:b/>
                <w:bCs/>
                <w:szCs w:val="20"/>
              </w:rPr>
              <w:t>2019</w:t>
            </w:r>
            <w:r w:rsidRPr="009B4D64">
              <w:rPr>
                <w:rFonts w:ascii="Calibri" w:hAnsi="Calibri"/>
                <w:b/>
                <w:bCs/>
                <w:szCs w:val="20"/>
              </w:rPr>
              <w:t>-</w:t>
            </w:r>
            <w:r>
              <w:rPr>
                <w:rFonts w:ascii="Calibri" w:hAnsi="Calibri"/>
                <w:b/>
                <w:bCs/>
                <w:szCs w:val="20"/>
              </w:rPr>
              <w:t>20</w:t>
            </w:r>
            <w:r w:rsidRPr="009B4D64">
              <w:rPr>
                <w:rFonts w:ascii="Calibri" w:hAnsi="Calibri"/>
                <w:b/>
                <w:bCs/>
                <w:szCs w:val="20"/>
                <w:vertAlign w:val="superscript"/>
              </w:rPr>
              <w:t>1</w:t>
            </w:r>
          </w:p>
        </w:tc>
        <w:tc>
          <w:tcPr>
            <w:tcW w:w="117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34C69" w:rsidRPr="00BA05EA" w:rsidRDefault="00434C69" w:rsidP="00434C69">
            <w:pPr>
              <w:tabs>
                <w:tab w:val="left" w:pos="-1080"/>
                <w:tab w:val="left" w:pos="-720"/>
                <w:tab w:val="left" w:pos="0"/>
                <w:tab w:val="left" w:pos="360"/>
              </w:tabs>
              <w:jc w:val="right"/>
              <w:rPr>
                <w:rFonts w:ascii="Calibri" w:hAnsi="Calibri"/>
                <w:b/>
                <w:bCs/>
                <w:szCs w:val="20"/>
              </w:rPr>
            </w:pPr>
            <w:r w:rsidRPr="00BA05EA">
              <w:rPr>
                <w:rFonts w:ascii="Calibri" w:hAnsi="Calibri"/>
                <w:b/>
                <w:bCs/>
                <w:szCs w:val="20"/>
              </w:rPr>
              <w:t>2021-25</w:t>
            </w:r>
          </w:p>
        </w:tc>
        <w:tc>
          <w:tcPr>
            <w:tcW w:w="112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34C69" w:rsidRPr="00BA05EA" w:rsidRDefault="00434C69" w:rsidP="00434C69">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BA05EA">
              <w:rPr>
                <w:rFonts w:ascii="Calibri" w:hAnsi="Calibri"/>
                <w:b/>
                <w:bCs/>
                <w:szCs w:val="20"/>
              </w:rPr>
              <w:t>-30</w:t>
            </w:r>
          </w:p>
        </w:tc>
        <w:tc>
          <w:tcPr>
            <w:tcW w:w="112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434C69" w:rsidRPr="00BA05EA" w:rsidRDefault="00434C69" w:rsidP="00434C69">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368" w:type="dxa"/>
            <w:tcBorders>
              <w:top w:val="nil"/>
              <w:left w:val="single" w:sz="4" w:space="0" w:color="auto"/>
              <w:bottom w:val="single" w:sz="4" w:space="0" w:color="auto"/>
              <w:right w:val="single" w:sz="12" w:space="0" w:color="auto"/>
            </w:tcBorders>
            <w:shd w:val="clear" w:color="auto" w:fill="auto"/>
            <w:noWrap/>
            <w:tcMar>
              <w:left w:w="43" w:type="dxa"/>
              <w:right w:w="43" w:type="dxa"/>
            </w:tcMar>
            <w:vAlign w:val="center"/>
          </w:tcPr>
          <w:p w:rsidR="00434C69" w:rsidRPr="00BA05EA" w:rsidRDefault="00434C69" w:rsidP="00434C69">
            <w:pPr>
              <w:jc w:val="right"/>
              <w:rPr>
                <w:rFonts w:ascii="Calibri" w:hAnsi="Calibri"/>
                <w:b/>
                <w:szCs w:val="20"/>
              </w:rPr>
            </w:pPr>
            <w:r>
              <w:rPr>
                <w:rFonts w:ascii="Calibri" w:hAnsi="Calibri"/>
                <w:b/>
                <w:szCs w:val="20"/>
              </w:rPr>
              <w:t>2019-2040</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1</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0.9</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6.7</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6.7</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13.4</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27.8</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2</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0.7</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5.4</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5.4</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10.8</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22.4</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3</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0.5</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3.7</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3.7</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7.4</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15.3</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4</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1.2</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9.1</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9.1</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18.1</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37.5</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5</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1.4</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10.0</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10.0</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20.1</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41.5</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6</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0.8</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6.2</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6.2</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12.5</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25.8</w:t>
            </w:r>
          </w:p>
        </w:tc>
      </w:tr>
      <w:tr w:rsidR="00434C69" w:rsidRPr="009B4D64" w:rsidTr="006868F0">
        <w:trPr>
          <w:trHeight w:val="300"/>
          <w:jc w:val="center"/>
        </w:trPr>
        <w:tc>
          <w:tcPr>
            <w:tcW w:w="3213" w:type="dxa"/>
            <w:tcBorders>
              <w:top w:val="nil"/>
              <w:left w:val="single" w:sz="12" w:space="0" w:color="auto"/>
              <w:bottom w:val="single" w:sz="4" w:space="0" w:color="auto"/>
              <w:right w:val="single" w:sz="4" w:space="0" w:color="auto"/>
            </w:tcBorders>
            <w:shd w:val="clear" w:color="auto" w:fill="auto"/>
            <w:noWrap/>
            <w:vAlign w:val="bottom"/>
          </w:tcPr>
          <w:p w:rsidR="00434C69" w:rsidRPr="009B4D64" w:rsidRDefault="00434C69" w:rsidP="008818A1">
            <w:pPr>
              <w:tabs>
                <w:tab w:val="left" w:pos="-1080"/>
                <w:tab w:val="left" w:pos="-720"/>
                <w:tab w:val="left" w:pos="0"/>
                <w:tab w:val="left" w:pos="360"/>
              </w:tabs>
              <w:rPr>
                <w:rFonts w:ascii="Calibri" w:hAnsi="Calibri"/>
              </w:rPr>
            </w:pPr>
            <w:r>
              <w:rPr>
                <w:rFonts w:ascii="Calibri" w:hAnsi="Calibri"/>
              </w:rPr>
              <w:t>District 7</w:t>
            </w:r>
          </w:p>
        </w:tc>
        <w:tc>
          <w:tcPr>
            <w:tcW w:w="1125" w:type="dxa"/>
            <w:tcBorders>
              <w:top w:val="single" w:sz="4" w:space="0" w:color="auto"/>
              <w:left w:val="nil"/>
              <w:bottom w:val="single" w:sz="4" w:space="0" w:color="auto"/>
              <w:right w:val="single" w:sz="4" w:space="0" w:color="auto"/>
            </w:tcBorders>
            <w:vAlign w:val="bottom"/>
          </w:tcPr>
          <w:p w:rsidR="00434C69" w:rsidRPr="00434C69" w:rsidRDefault="00434C69">
            <w:pPr>
              <w:jc w:val="right"/>
              <w:rPr>
                <w:rFonts w:ascii="Calibri" w:hAnsi="Calibri" w:cs="Calibri"/>
                <w:szCs w:val="20"/>
              </w:rPr>
            </w:pPr>
            <w:r w:rsidRPr="00434C69">
              <w:rPr>
                <w:rFonts w:ascii="Calibri" w:hAnsi="Calibri" w:cs="Calibri"/>
                <w:szCs w:val="20"/>
              </w:rPr>
              <w:t>1.0</w:t>
            </w:r>
          </w:p>
        </w:tc>
        <w:tc>
          <w:tcPr>
            <w:tcW w:w="1170"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7.3</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7.3</w:t>
            </w:r>
          </w:p>
        </w:tc>
        <w:tc>
          <w:tcPr>
            <w:tcW w:w="1125" w:type="dxa"/>
            <w:tcBorders>
              <w:top w:val="nil"/>
              <w:left w:val="nil"/>
              <w:bottom w:val="single" w:sz="4" w:space="0" w:color="auto"/>
              <w:right w:val="single" w:sz="4"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14.6</w:t>
            </w:r>
          </w:p>
        </w:tc>
        <w:tc>
          <w:tcPr>
            <w:tcW w:w="1368" w:type="dxa"/>
            <w:tcBorders>
              <w:top w:val="nil"/>
              <w:left w:val="single" w:sz="4" w:space="0" w:color="auto"/>
              <w:bottom w:val="single" w:sz="4" w:space="0" w:color="auto"/>
              <w:right w:val="single" w:sz="12" w:space="0" w:color="auto"/>
            </w:tcBorders>
            <w:shd w:val="clear" w:color="auto" w:fill="auto"/>
            <w:noWrap/>
            <w:vAlign w:val="bottom"/>
          </w:tcPr>
          <w:p w:rsidR="00434C69" w:rsidRPr="00434C69" w:rsidRDefault="00434C69">
            <w:pPr>
              <w:jc w:val="right"/>
              <w:rPr>
                <w:rFonts w:ascii="Calibri" w:hAnsi="Calibri" w:cs="Calibri"/>
                <w:szCs w:val="20"/>
              </w:rPr>
            </w:pPr>
            <w:r w:rsidRPr="00434C69">
              <w:rPr>
                <w:rFonts w:ascii="Calibri" w:hAnsi="Calibri" w:cs="Calibri"/>
                <w:szCs w:val="20"/>
              </w:rPr>
              <w:t>30.3</w:t>
            </w:r>
          </w:p>
        </w:tc>
      </w:tr>
      <w:tr w:rsidR="00434C69" w:rsidRPr="009B4D64" w:rsidTr="006868F0">
        <w:trPr>
          <w:trHeight w:val="330"/>
          <w:jc w:val="center"/>
        </w:trPr>
        <w:tc>
          <w:tcPr>
            <w:tcW w:w="3213" w:type="dxa"/>
            <w:tcBorders>
              <w:top w:val="nil"/>
              <w:left w:val="single" w:sz="12" w:space="0" w:color="auto"/>
              <w:bottom w:val="single" w:sz="12" w:space="0" w:color="auto"/>
              <w:right w:val="single" w:sz="4" w:space="0" w:color="auto"/>
            </w:tcBorders>
            <w:shd w:val="clear" w:color="auto" w:fill="auto"/>
            <w:noWrap/>
            <w:vAlign w:val="bottom"/>
          </w:tcPr>
          <w:p w:rsidR="00434C69" w:rsidRPr="009B4D64" w:rsidRDefault="00434C69" w:rsidP="008818A1">
            <w:pPr>
              <w:rPr>
                <w:rFonts w:ascii="Calibri" w:hAnsi="Calibri"/>
                <w:b/>
                <w:bCs/>
                <w:szCs w:val="20"/>
              </w:rPr>
            </w:pPr>
            <w:r w:rsidRPr="009B4D64">
              <w:rPr>
                <w:rFonts w:ascii="Calibri" w:hAnsi="Calibri"/>
                <w:b/>
                <w:bCs/>
                <w:szCs w:val="20"/>
              </w:rPr>
              <w:t xml:space="preserve">Statewide Total </w:t>
            </w:r>
            <w:r>
              <w:rPr>
                <w:rFonts w:ascii="Calibri" w:hAnsi="Calibri"/>
                <w:b/>
                <w:bCs/>
                <w:szCs w:val="20"/>
              </w:rPr>
              <w:t xml:space="preserve">Forecast </w:t>
            </w:r>
          </w:p>
        </w:tc>
        <w:tc>
          <w:tcPr>
            <w:tcW w:w="1125" w:type="dxa"/>
            <w:tcBorders>
              <w:top w:val="single" w:sz="4" w:space="0" w:color="auto"/>
              <w:left w:val="nil"/>
              <w:bottom w:val="single" w:sz="12" w:space="0" w:color="auto"/>
              <w:right w:val="single" w:sz="4" w:space="0" w:color="auto"/>
            </w:tcBorders>
            <w:vAlign w:val="bottom"/>
          </w:tcPr>
          <w:p w:rsidR="00434C69" w:rsidRPr="00434C69" w:rsidRDefault="00434C69">
            <w:pPr>
              <w:jc w:val="right"/>
              <w:rPr>
                <w:rFonts w:ascii="Calibri" w:hAnsi="Calibri" w:cs="Calibri"/>
                <w:b/>
                <w:szCs w:val="20"/>
              </w:rPr>
            </w:pPr>
            <w:r w:rsidRPr="00434C69">
              <w:rPr>
                <w:rFonts w:ascii="Calibri" w:hAnsi="Calibri" w:cs="Calibri"/>
                <w:b/>
                <w:szCs w:val="20"/>
              </w:rPr>
              <w:t>6.6</w:t>
            </w:r>
          </w:p>
        </w:tc>
        <w:tc>
          <w:tcPr>
            <w:tcW w:w="1170" w:type="dxa"/>
            <w:tcBorders>
              <w:top w:val="nil"/>
              <w:left w:val="nil"/>
              <w:bottom w:val="single" w:sz="12" w:space="0" w:color="auto"/>
              <w:right w:val="single" w:sz="4" w:space="0" w:color="auto"/>
            </w:tcBorders>
            <w:shd w:val="clear" w:color="auto" w:fill="auto"/>
            <w:noWrap/>
            <w:vAlign w:val="bottom"/>
          </w:tcPr>
          <w:p w:rsidR="00434C69" w:rsidRPr="00434C69" w:rsidRDefault="00434C69">
            <w:pPr>
              <w:jc w:val="right"/>
              <w:rPr>
                <w:rFonts w:ascii="Calibri" w:hAnsi="Calibri" w:cs="Calibri"/>
                <w:b/>
                <w:szCs w:val="20"/>
              </w:rPr>
            </w:pPr>
            <w:r w:rsidRPr="00434C69">
              <w:rPr>
                <w:rFonts w:ascii="Calibri" w:hAnsi="Calibri" w:cs="Calibri"/>
                <w:b/>
                <w:szCs w:val="20"/>
              </w:rPr>
              <w:t>48.5</w:t>
            </w:r>
          </w:p>
        </w:tc>
        <w:tc>
          <w:tcPr>
            <w:tcW w:w="1125" w:type="dxa"/>
            <w:tcBorders>
              <w:top w:val="nil"/>
              <w:left w:val="nil"/>
              <w:bottom w:val="single" w:sz="12" w:space="0" w:color="auto"/>
              <w:right w:val="single" w:sz="4" w:space="0" w:color="auto"/>
            </w:tcBorders>
            <w:shd w:val="clear" w:color="auto" w:fill="auto"/>
            <w:noWrap/>
            <w:vAlign w:val="bottom"/>
          </w:tcPr>
          <w:p w:rsidR="00434C69" w:rsidRPr="00434C69" w:rsidRDefault="00434C69">
            <w:pPr>
              <w:jc w:val="right"/>
              <w:rPr>
                <w:rFonts w:ascii="Calibri" w:hAnsi="Calibri" w:cs="Calibri"/>
                <w:b/>
                <w:szCs w:val="20"/>
              </w:rPr>
            </w:pPr>
            <w:r w:rsidRPr="00434C69">
              <w:rPr>
                <w:rFonts w:ascii="Calibri" w:hAnsi="Calibri" w:cs="Calibri"/>
                <w:b/>
                <w:szCs w:val="20"/>
              </w:rPr>
              <w:t>48.5</w:t>
            </w:r>
          </w:p>
        </w:tc>
        <w:tc>
          <w:tcPr>
            <w:tcW w:w="1125" w:type="dxa"/>
            <w:tcBorders>
              <w:top w:val="nil"/>
              <w:left w:val="nil"/>
              <w:bottom w:val="single" w:sz="12" w:space="0" w:color="auto"/>
              <w:right w:val="single" w:sz="4" w:space="0" w:color="auto"/>
            </w:tcBorders>
            <w:shd w:val="clear" w:color="auto" w:fill="auto"/>
            <w:noWrap/>
            <w:vAlign w:val="bottom"/>
          </w:tcPr>
          <w:p w:rsidR="00434C69" w:rsidRPr="00434C69" w:rsidRDefault="00434C69">
            <w:pPr>
              <w:jc w:val="right"/>
              <w:rPr>
                <w:rFonts w:ascii="Calibri" w:hAnsi="Calibri" w:cs="Calibri"/>
                <w:b/>
                <w:szCs w:val="20"/>
              </w:rPr>
            </w:pPr>
            <w:r w:rsidRPr="00434C69">
              <w:rPr>
                <w:rFonts w:ascii="Calibri" w:hAnsi="Calibri" w:cs="Calibri"/>
                <w:b/>
                <w:szCs w:val="20"/>
              </w:rPr>
              <w:t>97.0</w:t>
            </w:r>
          </w:p>
        </w:tc>
        <w:tc>
          <w:tcPr>
            <w:tcW w:w="1368" w:type="dxa"/>
            <w:tcBorders>
              <w:top w:val="nil"/>
              <w:left w:val="single" w:sz="4" w:space="0" w:color="auto"/>
              <w:bottom w:val="single" w:sz="12" w:space="0" w:color="auto"/>
              <w:right w:val="single" w:sz="12" w:space="0" w:color="auto"/>
            </w:tcBorders>
            <w:shd w:val="clear" w:color="auto" w:fill="auto"/>
            <w:noWrap/>
            <w:vAlign w:val="bottom"/>
          </w:tcPr>
          <w:p w:rsidR="00434C69" w:rsidRPr="00434C69" w:rsidRDefault="00434C69">
            <w:pPr>
              <w:jc w:val="right"/>
              <w:rPr>
                <w:rFonts w:ascii="Calibri" w:hAnsi="Calibri" w:cs="Calibri"/>
                <w:b/>
                <w:szCs w:val="20"/>
              </w:rPr>
            </w:pPr>
            <w:r w:rsidRPr="00434C69">
              <w:rPr>
                <w:rFonts w:ascii="Calibri" w:hAnsi="Calibri" w:cs="Calibri"/>
                <w:b/>
                <w:szCs w:val="20"/>
              </w:rPr>
              <w:t>200.6</w:t>
            </w:r>
          </w:p>
        </w:tc>
      </w:tr>
    </w:tbl>
    <w:p w:rsidR="008933DA" w:rsidRPr="009B4D64" w:rsidRDefault="008933DA" w:rsidP="008933DA">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w:t>
      </w:r>
      <w:r>
        <w:rPr>
          <w:rFonts w:ascii="Calibri" w:hAnsi="Calibri"/>
          <w:szCs w:val="20"/>
        </w:rPr>
        <w:t>Estimates for 2014</w:t>
      </w:r>
      <w:r w:rsidRPr="009B4D64">
        <w:rPr>
          <w:rFonts w:ascii="Calibri" w:hAnsi="Calibri"/>
          <w:szCs w:val="20"/>
        </w:rPr>
        <w:t xml:space="preserve"> through </w:t>
      </w:r>
      <w:r>
        <w:rPr>
          <w:rFonts w:ascii="Calibri" w:hAnsi="Calibri"/>
          <w:szCs w:val="20"/>
        </w:rPr>
        <w:t>2018</w:t>
      </w:r>
      <w:r w:rsidRPr="009B4D64">
        <w:rPr>
          <w:rFonts w:ascii="Calibri" w:hAnsi="Calibri"/>
          <w:szCs w:val="20"/>
        </w:rPr>
        <w:t xml:space="preserve"> are contained in the </w:t>
      </w:r>
      <w:r>
        <w:rPr>
          <w:rFonts w:ascii="Calibri" w:hAnsi="Calibri"/>
          <w:szCs w:val="20"/>
        </w:rPr>
        <w:t>FDOT Adopted</w:t>
      </w:r>
      <w:r w:rsidRPr="009B4D64">
        <w:rPr>
          <w:rFonts w:ascii="Calibri" w:hAnsi="Calibri"/>
          <w:szCs w:val="20"/>
        </w:rPr>
        <w:t xml:space="preserve"> Work Program.</w:t>
      </w:r>
    </w:p>
    <w:p w:rsidR="008933DA" w:rsidRPr="009B4D64" w:rsidRDefault="008933DA" w:rsidP="008933DA">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Columns and rows sometimes do not equal the totals due to rounding. </w:t>
      </w:r>
    </w:p>
    <w:p w:rsidR="008933DA" w:rsidRDefault="008933DA" w:rsidP="008933DA">
      <w:pPr>
        <w:rPr>
          <w:rFonts w:ascii="Calibri" w:hAnsi="Calibri"/>
          <w:szCs w:val="20"/>
        </w:rPr>
      </w:pPr>
    </w:p>
    <w:p w:rsidR="00864191" w:rsidRDefault="00864191" w:rsidP="008933DA">
      <w:pPr>
        <w:rPr>
          <w:rFonts w:ascii="Calibri" w:hAnsi="Calibri"/>
          <w:szCs w:val="20"/>
        </w:rPr>
      </w:pPr>
    </w:p>
    <w:p w:rsidR="008933DA" w:rsidRPr="009B4D64" w:rsidRDefault="008933DA" w:rsidP="008933DA">
      <w:pPr>
        <w:jc w:val="center"/>
        <w:rPr>
          <w:rFonts w:ascii="Calibri" w:hAnsi="Calibri"/>
          <w:b/>
          <w:sz w:val="24"/>
        </w:rPr>
      </w:pPr>
      <w:r w:rsidRPr="009B4D64">
        <w:rPr>
          <w:rFonts w:ascii="Calibri" w:hAnsi="Calibri"/>
          <w:b/>
          <w:sz w:val="24"/>
        </w:rPr>
        <w:t xml:space="preserve">Table </w:t>
      </w:r>
      <w:r>
        <w:rPr>
          <w:rFonts w:ascii="Calibri" w:hAnsi="Calibri"/>
          <w:b/>
          <w:sz w:val="24"/>
        </w:rPr>
        <w:t xml:space="preserve">6 </w:t>
      </w:r>
    </w:p>
    <w:p w:rsidR="008933DA" w:rsidRPr="009B4D64" w:rsidRDefault="008933DA" w:rsidP="008933DA">
      <w:pPr>
        <w:jc w:val="center"/>
        <w:rPr>
          <w:rFonts w:ascii="Calibri" w:hAnsi="Calibri"/>
          <w:b/>
          <w:sz w:val="24"/>
        </w:rPr>
      </w:pPr>
      <w:r w:rsidRPr="009B4D64">
        <w:rPr>
          <w:rFonts w:ascii="Calibri" w:hAnsi="Calibri"/>
          <w:b/>
          <w:sz w:val="24"/>
        </w:rPr>
        <w:t xml:space="preserve">Statewide </w:t>
      </w:r>
      <w:r>
        <w:rPr>
          <w:rFonts w:ascii="Calibri" w:hAnsi="Calibri"/>
          <w:b/>
          <w:sz w:val="24"/>
        </w:rPr>
        <w:t>New Starts</w:t>
      </w:r>
      <w:r w:rsidRPr="009B4D64">
        <w:rPr>
          <w:rFonts w:ascii="Calibri" w:hAnsi="Calibri"/>
          <w:b/>
          <w:sz w:val="24"/>
        </w:rPr>
        <w:t xml:space="preserve"> Program Estimates</w:t>
      </w:r>
    </w:p>
    <w:p w:rsidR="008933DA" w:rsidRDefault="008933DA" w:rsidP="008933DA">
      <w:pPr>
        <w:jc w:val="center"/>
        <w:rPr>
          <w:rFonts w:ascii="Calibri" w:hAnsi="Calibri"/>
          <w:sz w:val="24"/>
        </w:rPr>
      </w:pPr>
      <w:r>
        <w:rPr>
          <w:rFonts w:ascii="Calibri" w:hAnsi="Calibri"/>
          <w:b/>
          <w:sz w:val="24"/>
        </w:rPr>
        <w:t>State Funds from the 2040</w:t>
      </w:r>
      <w:r w:rsidRPr="009B4D64">
        <w:rPr>
          <w:rFonts w:ascii="Calibri" w:hAnsi="Calibri"/>
          <w:b/>
          <w:sz w:val="24"/>
        </w:rPr>
        <w:t xml:space="preserve"> Revenue Forecast (Millions of Dollars)</w:t>
      </w:r>
    </w:p>
    <w:p w:rsidR="006868F0" w:rsidRPr="006868F0" w:rsidRDefault="006868F0" w:rsidP="008933DA">
      <w:pPr>
        <w:jc w:val="center"/>
        <w:rPr>
          <w:rFonts w:ascii="Calibri" w:hAnsi="Calibri"/>
          <w:sz w:val="24"/>
        </w:rPr>
      </w:pPr>
    </w:p>
    <w:tbl>
      <w:tblPr>
        <w:tblW w:w="9126" w:type="dxa"/>
        <w:jc w:val="center"/>
        <w:tblLook w:val="0000" w:firstRow="0" w:lastRow="0" w:firstColumn="0" w:lastColumn="0" w:noHBand="0" w:noVBand="0"/>
      </w:tblPr>
      <w:tblGrid>
        <w:gridCol w:w="3393"/>
        <w:gridCol w:w="1080"/>
        <w:gridCol w:w="990"/>
        <w:gridCol w:w="1080"/>
        <w:gridCol w:w="1125"/>
        <w:gridCol w:w="1458"/>
      </w:tblGrid>
      <w:tr w:rsidR="006868F0" w:rsidRPr="009B4D64" w:rsidTr="006868F0">
        <w:trPr>
          <w:trHeight w:val="420"/>
          <w:jc w:val="center"/>
        </w:trPr>
        <w:tc>
          <w:tcPr>
            <w:tcW w:w="3393"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6868F0" w:rsidRPr="009B4D64" w:rsidRDefault="006868F0" w:rsidP="006868F0">
            <w:pPr>
              <w:rPr>
                <w:rFonts w:ascii="Calibri" w:hAnsi="Calibri"/>
                <w:b/>
                <w:bCs/>
              </w:rPr>
            </w:pPr>
            <w:r>
              <w:rPr>
                <w:rFonts w:ascii="Calibri" w:hAnsi="Calibri"/>
                <w:b/>
                <w:bCs/>
              </w:rPr>
              <w:t>Statewide Program</w:t>
            </w:r>
          </w:p>
        </w:tc>
        <w:tc>
          <w:tcPr>
            <w:tcW w:w="4275" w:type="dxa"/>
            <w:gridSpan w:val="4"/>
            <w:tcBorders>
              <w:top w:val="single" w:sz="12" w:space="0" w:color="auto"/>
              <w:left w:val="single" w:sz="4" w:space="0" w:color="auto"/>
              <w:right w:val="single" w:sz="4" w:space="0" w:color="000000"/>
            </w:tcBorders>
            <w:tcMar>
              <w:left w:w="43" w:type="dxa"/>
              <w:right w:w="43" w:type="dxa"/>
            </w:tcMar>
            <w:vAlign w:val="center"/>
          </w:tcPr>
          <w:p w:rsidR="006868F0" w:rsidRPr="009B4D64" w:rsidRDefault="006868F0" w:rsidP="006868F0">
            <w:pPr>
              <w:jc w:val="center"/>
              <w:rPr>
                <w:rFonts w:ascii="Calibri" w:hAnsi="Calibri"/>
                <w:b/>
                <w:bCs/>
              </w:rPr>
            </w:pPr>
            <w:r w:rsidRPr="009B4D64">
              <w:rPr>
                <w:rFonts w:ascii="Calibri" w:hAnsi="Calibri"/>
                <w:b/>
                <w:bCs/>
              </w:rPr>
              <w:t>5-Year Period (Fiscal Years)</w:t>
            </w:r>
          </w:p>
        </w:tc>
        <w:tc>
          <w:tcPr>
            <w:tcW w:w="1458" w:type="dxa"/>
            <w:tcBorders>
              <w:top w:val="single" w:sz="12" w:space="0" w:color="auto"/>
              <w:left w:val="single" w:sz="4" w:space="0" w:color="auto"/>
              <w:bottom w:val="single" w:sz="4" w:space="0" w:color="000000"/>
              <w:right w:val="single" w:sz="12" w:space="0" w:color="auto"/>
            </w:tcBorders>
            <w:shd w:val="clear" w:color="auto" w:fill="auto"/>
            <w:tcMar>
              <w:left w:w="43" w:type="dxa"/>
              <w:right w:w="43" w:type="dxa"/>
            </w:tcMar>
            <w:vAlign w:val="center"/>
          </w:tcPr>
          <w:p w:rsidR="006868F0" w:rsidRPr="00434C69" w:rsidRDefault="006868F0" w:rsidP="006868F0">
            <w:pPr>
              <w:tabs>
                <w:tab w:val="left" w:pos="-1080"/>
                <w:tab w:val="left" w:pos="-720"/>
                <w:tab w:val="left" w:pos="0"/>
                <w:tab w:val="left" w:pos="360"/>
              </w:tabs>
              <w:jc w:val="center"/>
              <w:rPr>
                <w:rFonts w:ascii="Calibri" w:hAnsi="Calibri"/>
                <w:b/>
                <w:bCs/>
                <w:szCs w:val="20"/>
              </w:rPr>
            </w:pPr>
            <w:r w:rsidRPr="00434C69">
              <w:rPr>
                <w:rFonts w:ascii="Calibri" w:hAnsi="Calibri"/>
                <w:b/>
                <w:bCs/>
                <w:szCs w:val="20"/>
              </w:rPr>
              <w:t>22-Year Total</w:t>
            </w:r>
            <w:r w:rsidRPr="00434C69">
              <w:rPr>
                <w:rFonts w:ascii="Calibri" w:hAnsi="Calibri"/>
                <w:szCs w:val="20"/>
                <w:vertAlign w:val="superscript"/>
              </w:rPr>
              <w:t>2</w:t>
            </w:r>
          </w:p>
        </w:tc>
      </w:tr>
      <w:tr w:rsidR="006868F0" w:rsidRPr="009B4D64" w:rsidTr="006868F0">
        <w:trPr>
          <w:trHeight w:val="315"/>
          <w:jc w:val="center"/>
        </w:trPr>
        <w:tc>
          <w:tcPr>
            <w:tcW w:w="3393" w:type="dxa"/>
            <w:vMerge/>
            <w:tcBorders>
              <w:top w:val="single" w:sz="12" w:space="0" w:color="auto"/>
              <w:left w:val="single" w:sz="12" w:space="0" w:color="auto"/>
              <w:bottom w:val="single" w:sz="4" w:space="0" w:color="000000"/>
              <w:right w:val="single" w:sz="4" w:space="0" w:color="auto"/>
            </w:tcBorders>
            <w:vAlign w:val="center"/>
          </w:tcPr>
          <w:p w:rsidR="006868F0" w:rsidRPr="009B4D64" w:rsidRDefault="006868F0" w:rsidP="006868F0">
            <w:pPr>
              <w:rPr>
                <w:rFonts w:ascii="Calibri" w:hAnsi="Calibri"/>
                <w:b/>
                <w:bCs/>
                <w:szCs w:val="20"/>
              </w:rPr>
            </w:pPr>
          </w:p>
        </w:tc>
        <w:tc>
          <w:tcPr>
            <w:tcW w:w="1080" w:type="dxa"/>
            <w:tcBorders>
              <w:top w:val="single" w:sz="4" w:space="0" w:color="000000"/>
              <w:left w:val="nil"/>
              <w:bottom w:val="single" w:sz="4" w:space="0" w:color="auto"/>
              <w:right w:val="single" w:sz="4" w:space="0" w:color="auto"/>
            </w:tcBorders>
            <w:noWrap/>
            <w:tcMar>
              <w:left w:w="43" w:type="dxa"/>
              <w:right w:w="43" w:type="dxa"/>
            </w:tcMar>
            <w:vAlign w:val="center"/>
          </w:tcPr>
          <w:p w:rsidR="006868F0" w:rsidRPr="009B4D64"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2019</w:t>
            </w:r>
            <w:r w:rsidRPr="009B4D64">
              <w:rPr>
                <w:rFonts w:ascii="Calibri" w:hAnsi="Calibri"/>
                <w:b/>
                <w:bCs/>
                <w:szCs w:val="20"/>
              </w:rPr>
              <w:t>-</w:t>
            </w:r>
            <w:r>
              <w:rPr>
                <w:rFonts w:ascii="Calibri" w:hAnsi="Calibri"/>
                <w:b/>
                <w:bCs/>
                <w:szCs w:val="20"/>
              </w:rPr>
              <w:t>20</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sidRPr="00BA05EA">
              <w:rPr>
                <w:rFonts w:ascii="Calibri" w:hAnsi="Calibri"/>
                <w:b/>
                <w:bCs/>
                <w:szCs w:val="20"/>
              </w:rPr>
              <w:t>2021-25</w:t>
            </w:r>
          </w:p>
        </w:tc>
        <w:tc>
          <w:tcPr>
            <w:tcW w:w="108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BA05EA">
              <w:rPr>
                <w:rFonts w:ascii="Calibri" w:hAnsi="Calibri"/>
                <w:b/>
                <w:bCs/>
                <w:szCs w:val="20"/>
              </w:rPr>
              <w:t>-30</w:t>
            </w:r>
          </w:p>
        </w:tc>
        <w:tc>
          <w:tcPr>
            <w:tcW w:w="112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458" w:type="dxa"/>
            <w:tcBorders>
              <w:top w:val="nil"/>
              <w:left w:val="single" w:sz="4" w:space="0" w:color="auto"/>
              <w:bottom w:val="single" w:sz="4" w:space="0" w:color="auto"/>
              <w:right w:val="single" w:sz="12" w:space="0" w:color="auto"/>
            </w:tcBorders>
            <w:shd w:val="clear" w:color="auto" w:fill="auto"/>
            <w:noWrap/>
            <w:tcMar>
              <w:left w:w="43" w:type="dxa"/>
              <w:right w:w="43" w:type="dxa"/>
            </w:tcMar>
            <w:vAlign w:val="center"/>
          </w:tcPr>
          <w:p w:rsidR="006868F0" w:rsidRPr="00BA05EA" w:rsidRDefault="006868F0" w:rsidP="006868F0">
            <w:pPr>
              <w:jc w:val="right"/>
              <w:rPr>
                <w:rFonts w:ascii="Calibri" w:hAnsi="Calibri"/>
                <w:b/>
                <w:szCs w:val="20"/>
              </w:rPr>
            </w:pPr>
            <w:r>
              <w:rPr>
                <w:rFonts w:ascii="Calibri" w:hAnsi="Calibri"/>
                <w:b/>
                <w:szCs w:val="20"/>
              </w:rPr>
              <w:t>2019-2040</w:t>
            </w:r>
          </w:p>
        </w:tc>
      </w:tr>
      <w:tr w:rsidR="006868F0" w:rsidRPr="009B4D64" w:rsidTr="006868F0">
        <w:trPr>
          <w:trHeight w:val="330"/>
          <w:jc w:val="center"/>
        </w:trPr>
        <w:tc>
          <w:tcPr>
            <w:tcW w:w="3393" w:type="dxa"/>
            <w:tcBorders>
              <w:top w:val="nil"/>
              <w:left w:val="single" w:sz="12" w:space="0" w:color="auto"/>
              <w:bottom w:val="single" w:sz="12" w:space="0" w:color="auto"/>
              <w:right w:val="single" w:sz="4" w:space="0" w:color="auto"/>
            </w:tcBorders>
            <w:shd w:val="clear" w:color="auto" w:fill="auto"/>
            <w:noWrap/>
            <w:vAlign w:val="bottom"/>
          </w:tcPr>
          <w:p w:rsidR="006868F0" w:rsidRPr="009B4D64" w:rsidRDefault="006868F0" w:rsidP="006868F0">
            <w:pPr>
              <w:rPr>
                <w:rFonts w:ascii="Calibri" w:hAnsi="Calibri"/>
                <w:b/>
                <w:bCs/>
                <w:szCs w:val="20"/>
              </w:rPr>
            </w:pPr>
            <w:r w:rsidRPr="009B4D64">
              <w:rPr>
                <w:rFonts w:ascii="Calibri" w:hAnsi="Calibri"/>
                <w:b/>
                <w:bCs/>
                <w:szCs w:val="20"/>
              </w:rPr>
              <w:t>Statewide Total Forecast</w:t>
            </w:r>
          </w:p>
        </w:tc>
        <w:tc>
          <w:tcPr>
            <w:tcW w:w="1080" w:type="dxa"/>
            <w:tcBorders>
              <w:top w:val="single" w:sz="4" w:space="0" w:color="auto"/>
              <w:left w:val="nil"/>
              <w:bottom w:val="single" w:sz="12" w:space="0" w:color="auto"/>
              <w:right w:val="single" w:sz="4" w:space="0" w:color="auto"/>
            </w:tcBorders>
            <w:vAlign w:val="center"/>
          </w:tcPr>
          <w:p w:rsidR="006868F0" w:rsidRPr="008252C7" w:rsidRDefault="006868F0" w:rsidP="006868F0">
            <w:pPr>
              <w:jc w:val="right"/>
              <w:rPr>
                <w:rFonts w:ascii="Calibri" w:hAnsi="Calibri" w:cs="Calibri"/>
                <w:b/>
                <w:szCs w:val="20"/>
              </w:rPr>
            </w:pPr>
            <w:r w:rsidRPr="008252C7">
              <w:rPr>
                <w:rFonts w:ascii="Calibri" w:hAnsi="Calibri" w:cs="Calibri"/>
                <w:b/>
                <w:szCs w:val="20"/>
              </w:rPr>
              <w:t>63.3</w:t>
            </w:r>
          </w:p>
        </w:tc>
        <w:tc>
          <w:tcPr>
            <w:tcW w:w="990" w:type="dxa"/>
            <w:tcBorders>
              <w:top w:val="nil"/>
              <w:left w:val="nil"/>
              <w:bottom w:val="single" w:sz="12" w:space="0" w:color="auto"/>
              <w:right w:val="single" w:sz="4" w:space="0" w:color="auto"/>
            </w:tcBorders>
            <w:shd w:val="clear" w:color="auto" w:fill="auto"/>
            <w:noWrap/>
            <w:vAlign w:val="center"/>
          </w:tcPr>
          <w:p w:rsidR="006868F0" w:rsidRPr="008252C7" w:rsidRDefault="006868F0" w:rsidP="006868F0">
            <w:pPr>
              <w:jc w:val="right"/>
              <w:rPr>
                <w:rFonts w:ascii="Calibri" w:hAnsi="Calibri" w:cs="Calibri"/>
                <w:b/>
                <w:szCs w:val="20"/>
              </w:rPr>
            </w:pPr>
            <w:r w:rsidRPr="008252C7">
              <w:rPr>
                <w:rFonts w:ascii="Calibri" w:hAnsi="Calibri" w:cs="Calibri"/>
                <w:b/>
                <w:szCs w:val="20"/>
              </w:rPr>
              <w:t>174.3</w:t>
            </w:r>
          </w:p>
        </w:tc>
        <w:tc>
          <w:tcPr>
            <w:tcW w:w="1080" w:type="dxa"/>
            <w:tcBorders>
              <w:top w:val="nil"/>
              <w:left w:val="nil"/>
              <w:bottom w:val="single" w:sz="12" w:space="0" w:color="auto"/>
              <w:right w:val="single" w:sz="4" w:space="0" w:color="auto"/>
            </w:tcBorders>
            <w:shd w:val="clear" w:color="auto" w:fill="auto"/>
            <w:noWrap/>
            <w:vAlign w:val="center"/>
          </w:tcPr>
          <w:p w:rsidR="006868F0" w:rsidRPr="008252C7" w:rsidRDefault="006868F0" w:rsidP="006868F0">
            <w:pPr>
              <w:jc w:val="right"/>
              <w:rPr>
                <w:rFonts w:ascii="Calibri" w:hAnsi="Calibri" w:cs="Calibri"/>
                <w:b/>
                <w:szCs w:val="20"/>
              </w:rPr>
            </w:pPr>
            <w:r w:rsidRPr="008252C7">
              <w:rPr>
                <w:rFonts w:ascii="Calibri" w:hAnsi="Calibri" w:cs="Calibri"/>
                <w:b/>
                <w:szCs w:val="20"/>
              </w:rPr>
              <w:t>174.3</w:t>
            </w:r>
          </w:p>
        </w:tc>
        <w:tc>
          <w:tcPr>
            <w:tcW w:w="1125" w:type="dxa"/>
            <w:tcBorders>
              <w:top w:val="nil"/>
              <w:left w:val="nil"/>
              <w:bottom w:val="single" w:sz="12" w:space="0" w:color="auto"/>
              <w:right w:val="single" w:sz="4" w:space="0" w:color="auto"/>
            </w:tcBorders>
            <w:shd w:val="clear" w:color="auto" w:fill="auto"/>
            <w:noWrap/>
            <w:vAlign w:val="center"/>
          </w:tcPr>
          <w:p w:rsidR="006868F0" w:rsidRPr="008252C7" w:rsidRDefault="006868F0" w:rsidP="006868F0">
            <w:pPr>
              <w:jc w:val="right"/>
              <w:rPr>
                <w:rFonts w:ascii="Calibri" w:hAnsi="Calibri" w:cs="Calibri"/>
                <w:b/>
                <w:szCs w:val="20"/>
              </w:rPr>
            </w:pPr>
            <w:r>
              <w:rPr>
                <w:rFonts w:ascii="Calibri" w:hAnsi="Calibri" w:cs="Calibri"/>
                <w:b/>
                <w:szCs w:val="20"/>
              </w:rPr>
              <w:t>348.5</w:t>
            </w:r>
          </w:p>
        </w:tc>
        <w:tc>
          <w:tcPr>
            <w:tcW w:w="1458" w:type="dxa"/>
            <w:tcBorders>
              <w:top w:val="nil"/>
              <w:left w:val="single" w:sz="4" w:space="0" w:color="auto"/>
              <w:bottom w:val="single" w:sz="12" w:space="0" w:color="auto"/>
              <w:right w:val="single" w:sz="12" w:space="0" w:color="auto"/>
            </w:tcBorders>
            <w:shd w:val="clear" w:color="auto" w:fill="auto"/>
            <w:noWrap/>
            <w:vAlign w:val="center"/>
          </w:tcPr>
          <w:p w:rsidR="006868F0" w:rsidRPr="008252C7" w:rsidRDefault="006868F0" w:rsidP="006868F0">
            <w:pPr>
              <w:jc w:val="right"/>
              <w:rPr>
                <w:rFonts w:ascii="Calibri" w:hAnsi="Calibri" w:cs="Calibri"/>
                <w:b/>
                <w:szCs w:val="20"/>
              </w:rPr>
            </w:pPr>
            <w:r w:rsidRPr="008252C7">
              <w:rPr>
                <w:rFonts w:ascii="Calibri" w:hAnsi="Calibri" w:cs="Calibri"/>
                <w:b/>
                <w:szCs w:val="20"/>
              </w:rPr>
              <w:t>760.3</w:t>
            </w:r>
          </w:p>
        </w:tc>
      </w:tr>
    </w:tbl>
    <w:p w:rsidR="008933DA" w:rsidRPr="009B4D64" w:rsidRDefault="008933DA" w:rsidP="008933DA">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w:t>
      </w:r>
      <w:r>
        <w:rPr>
          <w:rFonts w:ascii="Calibri" w:hAnsi="Calibri"/>
          <w:szCs w:val="20"/>
        </w:rPr>
        <w:t>Estimates for 2014</w:t>
      </w:r>
      <w:r w:rsidRPr="009B4D64">
        <w:rPr>
          <w:rFonts w:ascii="Calibri" w:hAnsi="Calibri"/>
          <w:szCs w:val="20"/>
        </w:rPr>
        <w:t xml:space="preserve"> through </w:t>
      </w:r>
      <w:r>
        <w:rPr>
          <w:rFonts w:ascii="Calibri" w:hAnsi="Calibri"/>
          <w:szCs w:val="20"/>
        </w:rPr>
        <w:t>2018</w:t>
      </w:r>
      <w:r w:rsidRPr="009B4D64">
        <w:rPr>
          <w:rFonts w:ascii="Calibri" w:hAnsi="Calibri"/>
          <w:szCs w:val="20"/>
        </w:rPr>
        <w:t xml:space="preserve"> are contained in the </w:t>
      </w:r>
      <w:r>
        <w:rPr>
          <w:rFonts w:ascii="Calibri" w:hAnsi="Calibri"/>
          <w:szCs w:val="20"/>
        </w:rPr>
        <w:t>FDOT Adopted</w:t>
      </w:r>
      <w:r w:rsidRPr="009B4D64">
        <w:rPr>
          <w:rFonts w:ascii="Calibri" w:hAnsi="Calibri"/>
          <w:szCs w:val="20"/>
        </w:rPr>
        <w:t xml:space="preserve"> Work Program.</w:t>
      </w:r>
    </w:p>
    <w:p w:rsidR="008933DA" w:rsidRPr="009B4D64" w:rsidRDefault="008933DA" w:rsidP="008933DA">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w:t>
      </w:r>
      <w:r>
        <w:rPr>
          <w:rFonts w:ascii="Calibri" w:hAnsi="Calibri"/>
          <w:szCs w:val="20"/>
        </w:rPr>
        <w:t>Rows</w:t>
      </w:r>
      <w:r w:rsidRPr="009B4D64">
        <w:rPr>
          <w:rFonts w:ascii="Calibri" w:hAnsi="Calibri"/>
          <w:szCs w:val="20"/>
        </w:rPr>
        <w:t xml:space="preserve"> sometimes do not equal the totals due to rounding. </w:t>
      </w:r>
    </w:p>
    <w:p w:rsidR="008933DA" w:rsidRDefault="008933DA" w:rsidP="00032F02">
      <w:pPr>
        <w:rPr>
          <w:sz w:val="24"/>
        </w:rPr>
      </w:pPr>
    </w:p>
    <w:p w:rsidR="002378AC" w:rsidRPr="009B4D64" w:rsidRDefault="00A344B2" w:rsidP="00716CFD">
      <w:pPr>
        <w:rPr>
          <w:sz w:val="24"/>
        </w:rPr>
      </w:pPr>
      <w:r>
        <w:rPr>
          <w:sz w:val="24"/>
        </w:rPr>
        <w:t xml:space="preserve">MAP-21 created funding for Transportation Alternatives </w:t>
      </w:r>
      <w:r w:rsidR="00636515">
        <w:rPr>
          <w:sz w:val="24"/>
        </w:rPr>
        <w:t>projects and established allocations for certain 2010 Census population categories. Categories impacting MPOs include (1) funds for Transportation Management Areas (TALU funds); (2) funds for areas with populations greater than 5,000 up to 200,000 (TALL funds), and (3) funds for any area of the state</w:t>
      </w:r>
      <w:r w:rsidR="00864191">
        <w:rPr>
          <w:sz w:val="24"/>
        </w:rPr>
        <w:t xml:space="preserve"> </w:t>
      </w:r>
      <w:r w:rsidR="00636515">
        <w:rPr>
          <w:sz w:val="24"/>
        </w:rPr>
        <w:t>(TALT funds). E</w:t>
      </w:r>
      <w:r w:rsidR="004E5CC1">
        <w:rPr>
          <w:sz w:val="24"/>
        </w:rPr>
        <w:t xml:space="preserve">stimates of </w:t>
      </w:r>
      <w:r w:rsidR="00636515">
        <w:rPr>
          <w:sz w:val="24"/>
        </w:rPr>
        <w:t xml:space="preserve">Transportation Alternatives </w:t>
      </w:r>
      <w:r w:rsidR="00A114A3">
        <w:rPr>
          <w:sz w:val="24"/>
        </w:rPr>
        <w:t>Funds are shown in Table 7</w:t>
      </w:r>
      <w:r w:rsidR="004E5CC1">
        <w:rPr>
          <w:sz w:val="24"/>
        </w:rPr>
        <w:t xml:space="preserve">. </w:t>
      </w:r>
    </w:p>
    <w:p w:rsidR="00A114A3" w:rsidRPr="009B4D64" w:rsidRDefault="002378AC" w:rsidP="00A114A3">
      <w:pPr>
        <w:jc w:val="center"/>
        <w:rPr>
          <w:rFonts w:ascii="Calibri" w:hAnsi="Calibri"/>
          <w:b/>
          <w:sz w:val="24"/>
        </w:rPr>
      </w:pPr>
      <w:r w:rsidRPr="009B4D64">
        <w:rPr>
          <w:sz w:val="24"/>
        </w:rPr>
        <w:br w:type="page"/>
      </w:r>
      <w:r w:rsidR="00716CFD" w:rsidRPr="009B4D64">
        <w:rPr>
          <w:b/>
          <w:sz w:val="24"/>
        </w:rPr>
        <w:lastRenderedPageBreak/>
        <w:t xml:space="preserve"> </w:t>
      </w:r>
      <w:r w:rsidR="00A114A3" w:rsidRPr="009B4D64">
        <w:rPr>
          <w:rFonts w:ascii="Calibri" w:hAnsi="Calibri"/>
          <w:b/>
          <w:sz w:val="24"/>
        </w:rPr>
        <w:t xml:space="preserve">Table </w:t>
      </w:r>
      <w:r w:rsidR="00A114A3">
        <w:rPr>
          <w:rFonts w:ascii="Calibri" w:hAnsi="Calibri"/>
          <w:b/>
          <w:sz w:val="24"/>
        </w:rPr>
        <w:t>7</w:t>
      </w:r>
      <w:r w:rsidR="00DC550F" w:rsidRPr="00DC550F">
        <w:rPr>
          <w:rFonts w:ascii="Calibri" w:hAnsi="Calibri"/>
          <w:b/>
          <w:bCs/>
          <w:color w:val="FF0000"/>
          <w:sz w:val="22"/>
          <w:szCs w:val="22"/>
        </w:rPr>
        <w:t xml:space="preserve"> </w:t>
      </w:r>
    </w:p>
    <w:p w:rsidR="00A114A3" w:rsidRPr="009B4D64" w:rsidRDefault="008252C7" w:rsidP="00A114A3">
      <w:pPr>
        <w:jc w:val="center"/>
        <w:rPr>
          <w:rFonts w:ascii="Calibri" w:hAnsi="Calibri"/>
          <w:b/>
          <w:sz w:val="24"/>
        </w:rPr>
      </w:pPr>
      <w:r>
        <w:rPr>
          <w:rFonts w:ascii="Calibri" w:hAnsi="Calibri"/>
          <w:b/>
          <w:sz w:val="24"/>
        </w:rPr>
        <w:t>Transportation Alternatives</w:t>
      </w:r>
      <w:r w:rsidR="00A114A3">
        <w:rPr>
          <w:rFonts w:ascii="Calibri" w:hAnsi="Calibri"/>
          <w:b/>
          <w:sz w:val="24"/>
        </w:rPr>
        <w:t xml:space="preserve"> Funds</w:t>
      </w:r>
      <w:r w:rsidR="00A114A3" w:rsidRPr="00A114A3">
        <w:rPr>
          <w:rFonts w:ascii="Calibri" w:hAnsi="Calibri"/>
          <w:b/>
          <w:sz w:val="24"/>
          <w:vertAlign w:val="superscript"/>
        </w:rPr>
        <w:t>1</w:t>
      </w:r>
      <w:r w:rsidR="00A114A3" w:rsidRPr="009B4D64">
        <w:rPr>
          <w:rFonts w:ascii="Calibri" w:hAnsi="Calibri"/>
          <w:b/>
          <w:sz w:val="24"/>
        </w:rPr>
        <w:t xml:space="preserve"> Estimates</w:t>
      </w:r>
      <w:r w:rsidR="006868F0">
        <w:rPr>
          <w:rFonts w:ascii="Calibri" w:hAnsi="Calibri"/>
          <w:b/>
          <w:sz w:val="24"/>
        </w:rPr>
        <w:t xml:space="preserve"> </w:t>
      </w:r>
    </w:p>
    <w:p w:rsidR="00A114A3" w:rsidRPr="009B4D64" w:rsidRDefault="005B64CE" w:rsidP="00A114A3">
      <w:pPr>
        <w:jc w:val="center"/>
        <w:rPr>
          <w:rFonts w:ascii="Calibri" w:hAnsi="Calibri"/>
          <w:b/>
          <w:sz w:val="24"/>
        </w:rPr>
      </w:pPr>
      <w:r w:rsidRPr="009B4D64">
        <w:rPr>
          <w:rFonts w:ascii="Calibri" w:hAnsi="Calibri"/>
          <w:b/>
          <w:sz w:val="24"/>
        </w:rPr>
        <w:t xml:space="preserve">State and Federal Funds </w:t>
      </w:r>
      <w:r w:rsidR="008252C7">
        <w:rPr>
          <w:rFonts w:ascii="Calibri" w:hAnsi="Calibri"/>
          <w:b/>
          <w:sz w:val="24"/>
        </w:rPr>
        <w:t>from the 2040</w:t>
      </w:r>
      <w:r w:rsidR="00A114A3" w:rsidRPr="009B4D64">
        <w:rPr>
          <w:rFonts w:ascii="Calibri" w:hAnsi="Calibri"/>
          <w:b/>
          <w:sz w:val="24"/>
        </w:rPr>
        <w:t xml:space="preserve"> Revenue Forecast (Millions of Dollars)</w:t>
      </w:r>
    </w:p>
    <w:p w:rsidR="00A114A3" w:rsidRPr="009B4D64" w:rsidRDefault="00A114A3" w:rsidP="00A114A3">
      <w:pPr>
        <w:rPr>
          <w:rFonts w:ascii="Calibri" w:hAnsi="Calibri"/>
          <w:sz w:val="24"/>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1080"/>
        <w:gridCol w:w="1080"/>
        <w:gridCol w:w="1080"/>
        <w:gridCol w:w="1044"/>
        <w:gridCol w:w="1368"/>
      </w:tblGrid>
      <w:tr w:rsidR="00A114A3" w:rsidRPr="009B4D64" w:rsidTr="006868F0">
        <w:trPr>
          <w:trHeight w:val="420"/>
          <w:jc w:val="center"/>
        </w:trPr>
        <w:tc>
          <w:tcPr>
            <w:tcW w:w="3672" w:type="dxa"/>
            <w:vMerge w:val="restart"/>
            <w:tcBorders>
              <w:top w:val="single" w:sz="12" w:space="0" w:color="auto"/>
              <w:left w:val="single" w:sz="12" w:space="0" w:color="auto"/>
            </w:tcBorders>
            <w:shd w:val="clear" w:color="auto" w:fill="auto"/>
            <w:noWrap/>
            <w:vAlign w:val="center"/>
          </w:tcPr>
          <w:p w:rsidR="00A114A3" w:rsidRPr="00D778D3" w:rsidRDefault="00217D61" w:rsidP="00D778D3">
            <w:pPr>
              <w:rPr>
                <w:rFonts w:ascii="Calibri" w:hAnsi="Calibri"/>
                <w:b/>
                <w:bCs/>
              </w:rPr>
            </w:pPr>
            <w:r w:rsidRPr="00D778D3">
              <w:rPr>
                <w:rFonts w:ascii="Calibri" w:hAnsi="Calibri"/>
                <w:b/>
                <w:szCs w:val="20"/>
              </w:rPr>
              <w:t>CRTPA</w:t>
            </w:r>
          </w:p>
        </w:tc>
        <w:tc>
          <w:tcPr>
            <w:tcW w:w="4284" w:type="dxa"/>
            <w:gridSpan w:val="4"/>
            <w:tcBorders>
              <w:top w:val="single" w:sz="12" w:space="0" w:color="auto"/>
            </w:tcBorders>
            <w:tcMar>
              <w:left w:w="43" w:type="dxa"/>
              <w:right w:w="43" w:type="dxa"/>
            </w:tcMar>
            <w:vAlign w:val="center"/>
          </w:tcPr>
          <w:p w:rsidR="00A114A3" w:rsidRPr="009B4D64" w:rsidRDefault="00A114A3" w:rsidP="00A114A3">
            <w:pPr>
              <w:jc w:val="center"/>
              <w:rPr>
                <w:rFonts w:ascii="Calibri" w:hAnsi="Calibri"/>
                <w:b/>
                <w:bCs/>
              </w:rPr>
            </w:pPr>
            <w:r w:rsidRPr="009B4D64">
              <w:rPr>
                <w:rFonts w:ascii="Calibri" w:hAnsi="Calibri"/>
                <w:b/>
                <w:bCs/>
              </w:rPr>
              <w:t>5-Year Period (Fiscal Years)</w:t>
            </w:r>
          </w:p>
        </w:tc>
        <w:tc>
          <w:tcPr>
            <w:tcW w:w="1368" w:type="dxa"/>
            <w:tcBorders>
              <w:top w:val="single" w:sz="12" w:space="0" w:color="auto"/>
              <w:right w:val="single" w:sz="12" w:space="0" w:color="auto"/>
            </w:tcBorders>
            <w:shd w:val="clear" w:color="auto" w:fill="auto"/>
            <w:tcMar>
              <w:left w:w="43" w:type="dxa"/>
              <w:right w:w="43" w:type="dxa"/>
            </w:tcMar>
            <w:vAlign w:val="center"/>
          </w:tcPr>
          <w:p w:rsidR="00A114A3" w:rsidRPr="006868F0" w:rsidRDefault="00A114A3" w:rsidP="00A114A3">
            <w:pPr>
              <w:tabs>
                <w:tab w:val="left" w:pos="-1080"/>
                <w:tab w:val="left" w:pos="-720"/>
                <w:tab w:val="left" w:pos="0"/>
                <w:tab w:val="left" w:pos="360"/>
              </w:tabs>
              <w:jc w:val="center"/>
              <w:rPr>
                <w:rFonts w:ascii="Calibri" w:hAnsi="Calibri"/>
                <w:b/>
                <w:bCs/>
                <w:szCs w:val="20"/>
              </w:rPr>
            </w:pPr>
            <w:r w:rsidRPr="006868F0">
              <w:rPr>
                <w:rFonts w:ascii="Calibri" w:hAnsi="Calibri"/>
                <w:b/>
                <w:bCs/>
                <w:szCs w:val="20"/>
              </w:rPr>
              <w:t>22-Year Total</w:t>
            </w:r>
            <w:r w:rsidRPr="006868F0">
              <w:rPr>
                <w:rFonts w:ascii="Calibri" w:hAnsi="Calibri"/>
                <w:szCs w:val="20"/>
                <w:vertAlign w:val="superscript"/>
              </w:rPr>
              <w:t>3</w:t>
            </w:r>
          </w:p>
        </w:tc>
      </w:tr>
      <w:tr w:rsidR="006868F0" w:rsidRPr="009B4D64" w:rsidTr="006868F0">
        <w:trPr>
          <w:trHeight w:val="315"/>
          <w:jc w:val="center"/>
        </w:trPr>
        <w:tc>
          <w:tcPr>
            <w:tcW w:w="3672" w:type="dxa"/>
            <w:vMerge/>
            <w:tcBorders>
              <w:left w:val="single" w:sz="12" w:space="0" w:color="auto"/>
            </w:tcBorders>
            <w:vAlign w:val="center"/>
          </w:tcPr>
          <w:p w:rsidR="006868F0" w:rsidRPr="009B4D64" w:rsidRDefault="006868F0" w:rsidP="00A114A3">
            <w:pPr>
              <w:rPr>
                <w:rFonts w:ascii="Calibri" w:hAnsi="Calibri"/>
                <w:b/>
                <w:bCs/>
                <w:szCs w:val="20"/>
              </w:rPr>
            </w:pPr>
          </w:p>
        </w:tc>
        <w:tc>
          <w:tcPr>
            <w:tcW w:w="1080" w:type="dxa"/>
            <w:noWrap/>
            <w:tcMar>
              <w:left w:w="43" w:type="dxa"/>
              <w:right w:w="43" w:type="dxa"/>
            </w:tcMar>
            <w:vAlign w:val="center"/>
          </w:tcPr>
          <w:p w:rsidR="006868F0" w:rsidRPr="009B4D64"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2019</w:t>
            </w:r>
            <w:r w:rsidRPr="009B4D64">
              <w:rPr>
                <w:rFonts w:ascii="Calibri" w:hAnsi="Calibri"/>
                <w:b/>
                <w:bCs/>
                <w:szCs w:val="20"/>
              </w:rPr>
              <w:t>-</w:t>
            </w:r>
            <w:r>
              <w:rPr>
                <w:rFonts w:ascii="Calibri" w:hAnsi="Calibri"/>
                <w:b/>
                <w:bCs/>
                <w:szCs w:val="20"/>
              </w:rPr>
              <w:t>20</w:t>
            </w:r>
            <w:r w:rsidRPr="009B4D64">
              <w:rPr>
                <w:rFonts w:ascii="Calibri" w:hAnsi="Calibri"/>
                <w:b/>
                <w:bCs/>
                <w:szCs w:val="20"/>
                <w:vertAlign w:val="superscript"/>
              </w:rPr>
              <w:t>1</w:t>
            </w:r>
          </w:p>
        </w:tc>
        <w:tc>
          <w:tcPr>
            <w:tcW w:w="1080" w:type="dxa"/>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sidRPr="00BA05EA">
              <w:rPr>
                <w:rFonts w:ascii="Calibri" w:hAnsi="Calibri"/>
                <w:b/>
                <w:bCs/>
                <w:szCs w:val="20"/>
              </w:rPr>
              <w:t>2021-25</w:t>
            </w:r>
          </w:p>
        </w:tc>
        <w:tc>
          <w:tcPr>
            <w:tcW w:w="1080" w:type="dxa"/>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BA05EA">
              <w:rPr>
                <w:rFonts w:ascii="Calibri" w:hAnsi="Calibri"/>
                <w:b/>
                <w:bCs/>
                <w:szCs w:val="20"/>
              </w:rPr>
              <w:t>-30</w:t>
            </w:r>
          </w:p>
        </w:tc>
        <w:tc>
          <w:tcPr>
            <w:tcW w:w="1044" w:type="dxa"/>
            <w:shd w:val="clear" w:color="auto" w:fill="auto"/>
            <w:noWrap/>
            <w:tcMar>
              <w:left w:w="43" w:type="dxa"/>
              <w:right w:w="43" w:type="dxa"/>
            </w:tcMar>
            <w:vAlign w:val="center"/>
          </w:tcPr>
          <w:p w:rsidR="006868F0" w:rsidRPr="00BA05EA" w:rsidRDefault="006868F0" w:rsidP="006868F0">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368" w:type="dxa"/>
            <w:tcBorders>
              <w:right w:val="single" w:sz="12" w:space="0" w:color="auto"/>
            </w:tcBorders>
            <w:shd w:val="clear" w:color="auto" w:fill="auto"/>
            <w:noWrap/>
            <w:tcMar>
              <w:left w:w="43" w:type="dxa"/>
              <w:right w:w="43" w:type="dxa"/>
            </w:tcMar>
            <w:vAlign w:val="center"/>
          </w:tcPr>
          <w:p w:rsidR="006868F0" w:rsidRPr="00BA05EA" w:rsidRDefault="006868F0" w:rsidP="006868F0">
            <w:pPr>
              <w:jc w:val="right"/>
              <w:rPr>
                <w:rFonts w:ascii="Calibri" w:hAnsi="Calibri"/>
                <w:b/>
                <w:szCs w:val="20"/>
              </w:rPr>
            </w:pPr>
            <w:r>
              <w:rPr>
                <w:rFonts w:ascii="Calibri" w:hAnsi="Calibri"/>
                <w:b/>
                <w:szCs w:val="20"/>
              </w:rPr>
              <w:t>2019-2040</w:t>
            </w:r>
          </w:p>
        </w:tc>
      </w:tr>
      <w:tr w:rsidR="006868F0" w:rsidRPr="009B4D64" w:rsidTr="006868F0">
        <w:trPr>
          <w:trHeight w:val="330"/>
          <w:jc w:val="center"/>
        </w:trPr>
        <w:tc>
          <w:tcPr>
            <w:tcW w:w="3672" w:type="dxa"/>
            <w:tcBorders>
              <w:left w:val="single" w:sz="12" w:space="0" w:color="auto"/>
            </w:tcBorders>
            <w:shd w:val="clear" w:color="auto" w:fill="auto"/>
            <w:noWrap/>
            <w:vAlign w:val="bottom"/>
          </w:tcPr>
          <w:p w:rsidR="006868F0" w:rsidRPr="009B4D64" w:rsidRDefault="006868F0" w:rsidP="00D86E6F">
            <w:pPr>
              <w:rPr>
                <w:rFonts w:ascii="Calibri" w:hAnsi="Calibri"/>
                <w:b/>
                <w:bCs/>
                <w:szCs w:val="20"/>
              </w:rPr>
            </w:pPr>
            <w:r>
              <w:rPr>
                <w:rFonts w:ascii="Calibri" w:hAnsi="Calibri"/>
                <w:b/>
                <w:bCs/>
                <w:szCs w:val="20"/>
              </w:rPr>
              <w:t>TALU (Urban); Funds for TMA</w:t>
            </w:r>
            <w:r w:rsidRPr="00DC550F">
              <w:rPr>
                <w:rFonts w:ascii="Calibri" w:hAnsi="Calibri"/>
                <w:bCs/>
                <w:szCs w:val="20"/>
                <w:vertAlign w:val="superscript"/>
              </w:rPr>
              <w:t>2</w:t>
            </w:r>
          </w:p>
        </w:tc>
        <w:tc>
          <w:tcPr>
            <w:tcW w:w="1080" w:type="dxa"/>
            <w:vAlign w:val="bottom"/>
          </w:tcPr>
          <w:p w:rsidR="006868F0" w:rsidRPr="004B5EED" w:rsidRDefault="00217D61" w:rsidP="006868F0">
            <w:pPr>
              <w:jc w:val="right"/>
              <w:rPr>
                <w:rFonts w:ascii="Calibri" w:hAnsi="Calibri" w:cs="Arial"/>
                <w:b/>
                <w:bCs/>
                <w:highlight w:val="yellow"/>
              </w:rPr>
            </w:pPr>
            <w:r>
              <w:rPr>
                <w:rFonts w:ascii="Calibri" w:hAnsi="Calibri" w:cs="Arial"/>
                <w:b/>
                <w:szCs w:val="20"/>
                <w:highlight w:val="yellow"/>
              </w:rPr>
              <w:t>0.60</w:t>
            </w:r>
          </w:p>
        </w:tc>
        <w:tc>
          <w:tcPr>
            <w:tcW w:w="1080" w:type="dxa"/>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1.60</w:t>
            </w:r>
          </w:p>
        </w:tc>
        <w:tc>
          <w:tcPr>
            <w:tcW w:w="1080" w:type="dxa"/>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1.60</w:t>
            </w:r>
          </w:p>
        </w:tc>
        <w:tc>
          <w:tcPr>
            <w:tcW w:w="1044" w:type="dxa"/>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3.20</w:t>
            </w:r>
          </w:p>
        </w:tc>
        <w:tc>
          <w:tcPr>
            <w:tcW w:w="1368" w:type="dxa"/>
            <w:tcBorders>
              <w:right w:val="single" w:sz="12" w:space="0" w:color="auto"/>
            </w:tcBorders>
            <w:shd w:val="clear" w:color="auto" w:fill="auto"/>
            <w:noWrap/>
            <w:vAlign w:val="bottom"/>
          </w:tcPr>
          <w:p w:rsidR="006868F0" w:rsidRPr="004B5EED" w:rsidRDefault="00217D61" w:rsidP="00A114A3">
            <w:pPr>
              <w:jc w:val="right"/>
              <w:rPr>
                <w:rFonts w:ascii="Calibri" w:hAnsi="Calibri" w:cs="Arial"/>
                <w:b/>
                <w:szCs w:val="20"/>
                <w:highlight w:val="yellow"/>
              </w:rPr>
            </w:pPr>
            <w:r>
              <w:rPr>
                <w:rFonts w:ascii="Calibri" w:hAnsi="Calibri" w:cs="Arial"/>
                <w:b/>
                <w:szCs w:val="20"/>
                <w:highlight w:val="yellow"/>
              </w:rPr>
              <w:t>7.00</w:t>
            </w:r>
          </w:p>
        </w:tc>
      </w:tr>
      <w:tr w:rsidR="006868F0" w:rsidRPr="009B4D64" w:rsidTr="006868F0">
        <w:trPr>
          <w:trHeight w:val="330"/>
          <w:jc w:val="center"/>
        </w:trPr>
        <w:tc>
          <w:tcPr>
            <w:tcW w:w="3672" w:type="dxa"/>
            <w:tcBorders>
              <w:left w:val="single" w:sz="12" w:space="0" w:color="auto"/>
            </w:tcBorders>
            <w:shd w:val="clear" w:color="auto" w:fill="auto"/>
            <w:noWrap/>
            <w:vAlign w:val="bottom"/>
          </w:tcPr>
          <w:p w:rsidR="006868F0" w:rsidRDefault="006868F0" w:rsidP="00A114A3">
            <w:pPr>
              <w:rPr>
                <w:rFonts w:ascii="Calibri" w:hAnsi="Calibri"/>
                <w:b/>
                <w:bCs/>
                <w:szCs w:val="20"/>
              </w:rPr>
            </w:pPr>
            <w:r>
              <w:rPr>
                <w:rFonts w:ascii="Calibri" w:hAnsi="Calibri"/>
                <w:b/>
                <w:bCs/>
                <w:szCs w:val="20"/>
              </w:rPr>
              <w:t>TALL (&lt;200,000 Population)</w:t>
            </w:r>
            <w:r w:rsidRPr="00DC550F">
              <w:rPr>
                <w:rFonts w:ascii="Calibri" w:hAnsi="Calibri"/>
                <w:bCs/>
                <w:szCs w:val="20"/>
                <w:vertAlign w:val="superscript"/>
              </w:rPr>
              <w:t>2</w:t>
            </w:r>
            <w:r>
              <w:rPr>
                <w:rFonts w:ascii="Calibri" w:hAnsi="Calibri"/>
                <w:b/>
                <w:bCs/>
                <w:szCs w:val="20"/>
              </w:rPr>
              <w:t>;  Districtwide Funds</w:t>
            </w:r>
          </w:p>
        </w:tc>
        <w:tc>
          <w:tcPr>
            <w:tcW w:w="1080" w:type="dxa"/>
            <w:vAlign w:val="center"/>
          </w:tcPr>
          <w:p w:rsidR="006868F0" w:rsidRPr="00DC550F" w:rsidRDefault="006868F0" w:rsidP="006868F0">
            <w:pPr>
              <w:jc w:val="center"/>
              <w:rPr>
                <w:rFonts w:ascii="Calibri" w:hAnsi="Calibri" w:cs="Arial"/>
                <w:b/>
                <w:bCs/>
              </w:rPr>
            </w:pPr>
            <w:r w:rsidRPr="00DC550F">
              <w:rPr>
                <w:rFonts w:ascii="Calibri" w:hAnsi="Calibri" w:cs="Arial"/>
                <w:b/>
                <w:szCs w:val="20"/>
              </w:rPr>
              <w:t>N/A</w:t>
            </w:r>
          </w:p>
        </w:tc>
        <w:tc>
          <w:tcPr>
            <w:tcW w:w="1080" w:type="dxa"/>
            <w:shd w:val="clear" w:color="auto" w:fill="auto"/>
            <w:noWrap/>
            <w:vAlign w:val="center"/>
          </w:tcPr>
          <w:p w:rsidR="006868F0" w:rsidRPr="00DC550F" w:rsidRDefault="006868F0" w:rsidP="006868F0">
            <w:pPr>
              <w:jc w:val="center"/>
              <w:rPr>
                <w:rFonts w:ascii="Calibri" w:hAnsi="Calibri" w:cs="Arial"/>
                <w:b/>
                <w:bCs/>
              </w:rPr>
            </w:pPr>
            <w:r w:rsidRPr="00DC550F">
              <w:rPr>
                <w:rFonts w:ascii="Calibri" w:hAnsi="Calibri" w:cs="Arial"/>
                <w:b/>
                <w:szCs w:val="20"/>
              </w:rPr>
              <w:t>N/A</w:t>
            </w:r>
          </w:p>
        </w:tc>
        <w:tc>
          <w:tcPr>
            <w:tcW w:w="1080" w:type="dxa"/>
            <w:shd w:val="clear" w:color="auto" w:fill="auto"/>
            <w:noWrap/>
            <w:vAlign w:val="center"/>
          </w:tcPr>
          <w:p w:rsidR="006868F0" w:rsidRPr="00DC550F" w:rsidRDefault="006868F0" w:rsidP="006868F0">
            <w:pPr>
              <w:jc w:val="center"/>
              <w:rPr>
                <w:rFonts w:ascii="Calibri" w:hAnsi="Calibri" w:cs="Arial"/>
                <w:b/>
                <w:bCs/>
              </w:rPr>
            </w:pPr>
            <w:r w:rsidRPr="00DC550F">
              <w:rPr>
                <w:rFonts w:ascii="Calibri" w:hAnsi="Calibri" w:cs="Arial"/>
                <w:b/>
                <w:szCs w:val="20"/>
              </w:rPr>
              <w:t>N/A</w:t>
            </w:r>
          </w:p>
        </w:tc>
        <w:tc>
          <w:tcPr>
            <w:tcW w:w="1044" w:type="dxa"/>
            <w:shd w:val="clear" w:color="auto" w:fill="auto"/>
            <w:noWrap/>
            <w:vAlign w:val="center"/>
          </w:tcPr>
          <w:p w:rsidR="006868F0" w:rsidRPr="00DC550F" w:rsidRDefault="006868F0" w:rsidP="006868F0">
            <w:pPr>
              <w:jc w:val="center"/>
              <w:rPr>
                <w:rFonts w:ascii="Calibri" w:hAnsi="Calibri" w:cs="Arial"/>
                <w:b/>
                <w:bCs/>
              </w:rPr>
            </w:pPr>
            <w:r w:rsidRPr="00DC550F">
              <w:rPr>
                <w:rFonts w:ascii="Calibri" w:hAnsi="Calibri" w:cs="Arial"/>
                <w:b/>
                <w:szCs w:val="20"/>
              </w:rPr>
              <w:t>N/A</w:t>
            </w:r>
          </w:p>
        </w:tc>
        <w:tc>
          <w:tcPr>
            <w:tcW w:w="1368" w:type="dxa"/>
            <w:tcBorders>
              <w:right w:val="single" w:sz="12" w:space="0" w:color="auto"/>
            </w:tcBorders>
            <w:shd w:val="clear" w:color="auto" w:fill="auto"/>
            <w:noWrap/>
            <w:vAlign w:val="center"/>
          </w:tcPr>
          <w:p w:rsidR="006868F0" w:rsidRPr="00DC550F" w:rsidRDefault="006868F0" w:rsidP="006A53EF">
            <w:pPr>
              <w:jc w:val="center"/>
              <w:rPr>
                <w:rFonts w:ascii="Calibri" w:hAnsi="Calibri" w:cs="Arial"/>
                <w:b/>
                <w:bCs/>
              </w:rPr>
            </w:pPr>
            <w:r w:rsidRPr="00DC550F">
              <w:rPr>
                <w:rFonts w:ascii="Calibri" w:hAnsi="Calibri" w:cs="Arial"/>
                <w:b/>
                <w:szCs w:val="20"/>
              </w:rPr>
              <w:t>N/A</w:t>
            </w:r>
          </w:p>
        </w:tc>
      </w:tr>
      <w:tr w:rsidR="006868F0" w:rsidRPr="009B4D64" w:rsidTr="006868F0">
        <w:trPr>
          <w:trHeight w:val="330"/>
          <w:jc w:val="center"/>
        </w:trPr>
        <w:tc>
          <w:tcPr>
            <w:tcW w:w="3672" w:type="dxa"/>
            <w:tcBorders>
              <w:left w:val="single" w:sz="12" w:space="0" w:color="auto"/>
              <w:bottom w:val="single" w:sz="12" w:space="0" w:color="auto"/>
            </w:tcBorders>
            <w:shd w:val="clear" w:color="auto" w:fill="auto"/>
            <w:noWrap/>
            <w:vAlign w:val="bottom"/>
          </w:tcPr>
          <w:p w:rsidR="006868F0" w:rsidRDefault="006868F0" w:rsidP="00D86E6F">
            <w:pPr>
              <w:rPr>
                <w:rFonts w:ascii="Calibri" w:hAnsi="Calibri"/>
                <w:b/>
                <w:bCs/>
                <w:szCs w:val="20"/>
              </w:rPr>
            </w:pPr>
            <w:r>
              <w:rPr>
                <w:rFonts w:ascii="Calibri" w:hAnsi="Calibri"/>
                <w:b/>
                <w:bCs/>
                <w:szCs w:val="20"/>
              </w:rPr>
              <w:t>TALT (Any Area);  Districtwide Funds</w:t>
            </w:r>
          </w:p>
        </w:tc>
        <w:tc>
          <w:tcPr>
            <w:tcW w:w="1080" w:type="dxa"/>
            <w:tcBorders>
              <w:bottom w:val="single" w:sz="12" w:space="0" w:color="auto"/>
            </w:tcBorders>
            <w:vAlign w:val="bottom"/>
          </w:tcPr>
          <w:p w:rsidR="006868F0" w:rsidRPr="004B5EED" w:rsidRDefault="00217D61" w:rsidP="006868F0">
            <w:pPr>
              <w:jc w:val="right"/>
              <w:rPr>
                <w:rFonts w:ascii="Calibri" w:hAnsi="Calibri" w:cs="Arial"/>
                <w:b/>
                <w:bCs/>
                <w:highlight w:val="yellow"/>
              </w:rPr>
            </w:pPr>
            <w:r>
              <w:rPr>
                <w:rFonts w:ascii="Calibri" w:hAnsi="Calibri" w:cs="Arial"/>
                <w:b/>
                <w:szCs w:val="20"/>
                <w:highlight w:val="yellow"/>
              </w:rPr>
              <w:t>0.66</w:t>
            </w:r>
          </w:p>
        </w:tc>
        <w:tc>
          <w:tcPr>
            <w:tcW w:w="1080" w:type="dxa"/>
            <w:tcBorders>
              <w:bottom w:val="single" w:sz="12" w:space="0" w:color="auto"/>
            </w:tcBorders>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1.66</w:t>
            </w:r>
          </w:p>
        </w:tc>
        <w:tc>
          <w:tcPr>
            <w:tcW w:w="1080" w:type="dxa"/>
            <w:tcBorders>
              <w:bottom w:val="single" w:sz="12" w:space="0" w:color="auto"/>
            </w:tcBorders>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1.66</w:t>
            </w:r>
          </w:p>
        </w:tc>
        <w:tc>
          <w:tcPr>
            <w:tcW w:w="1044" w:type="dxa"/>
            <w:tcBorders>
              <w:bottom w:val="single" w:sz="12" w:space="0" w:color="auto"/>
            </w:tcBorders>
            <w:shd w:val="clear" w:color="auto" w:fill="auto"/>
            <w:noWrap/>
            <w:vAlign w:val="bottom"/>
          </w:tcPr>
          <w:p w:rsidR="006868F0" w:rsidRPr="004B5EED" w:rsidRDefault="00217D61" w:rsidP="006868F0">
            <w:pPr>
              <w:jc w:val="right"/>
              <w:rPr>
                <w:rFonts w:ascii="Calibri" w:hAnsi="Calibri" w:cs="Arial"/>
                <w:b/>
                <w:szCs w:val="20"/>
                <w:highlight w:val="yellow"/>
              </w:rPr>
            </w:pPr>
            <w:r>
              <w:rPr>
                <w:rFonts w:ascii="Calibri" w:hAnsi="Calibri" w:cs="Arial"/>
                <w:b/>
                <w:szCs w:val="20"/>
                <w:highlight w:val="yellow"/>
              </w:rPr>
              <w:t>3.32</w:t>
            </w:r>
          </w:p>
        </w:tc>
        <w:tc>
          <w:tcPr>
            <w:tcW w:w="1368" w:type="dxa"/>
            <w:tcBorders>
              <w:bottom w:val="single" w:sz="12" w:space="0" w:color="auto"/>
              <w:right w:val="single" w:sz="12" w:space="0" w:color="auto"/>
            </w:tcBorders>
            <w:shd w:val="clear" w:color="auto" w:fill="auto"/>
            <w:noWrap/>
            <w:vAlign w:val="bottom"/>
          </w:tcPr>
          <w:p w:rsidR="006868F0" w:rsidRPr="004B5EED" w:rsidRDefault="00217D61" w:rsidP="006A53EF">
            <w:pPr>
              <w:jc w:val="right"/>
              <w:rPr>
                <w:rFonts w:ascii="Calibri" w:hAnsi="Calibri" w:cs="Arial"/>
                <w:b/>
                <w:szCs w:val="20"/>
                <w:highlight w:val="yellow"/>
              </w:rPr>
            </w:pPr>
            <w:r>
              <w:rPr>
                <w:rFonts w:ascii="Calibri" w:hAnsi="Calibri" w:cs="Arial"/>
                <w:b/>
                <w:szCs w:val="20"/>
                <w:highlight w:val="yellow"/>
              </w:rPr>
              <w:t>7.30</w:t>
            </w:r>
          </w:p>
        </w:tc>
      </w:tr>
    </w:tbl>
    <w:p w:rsidR="00DC550F" w:rsidRPr="009B4D64" w:rsidRDefault="00DC550F" w:rsidP="00DC550F">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w:t>
      </w:r>
      <w:r>
        <w:rPr>
          <w:rFonts w:ascii="Calibri" w:hAnsi="Calibri"/>
          <w:szCs w:val="20"/>
        </w:rPr>
        <w:t>Estimates for 2014</w:t>
      </w:r>
      <w:r w:rsidRPr="009B4D64">
        <w:rPr>
          <w:rFonts w:ascii="Calibri" w:hAnsi="Calibri"/>
          <w:szCs w:val="20"/>
        </w:rPr>
        <w:t xml:space="preserve"> through </w:t>
      </w:r>
      <w:r>
        <w:rPr>
          <w:rFonts w:ascii="Calibri" w:hAnsi="Calibri"/>
          <w:szCs w:val="20"/>
        </w:rPr>
        <w:t>2018</w:t>
      </w:r>
      <w:r w:rsidRPr="009B4D64">
        <w:rPr>
          <w:rFonts w:ascii="Calibri" w:hAnsi="Calibri"/>
          <w:szCs w:val="20"/>
        </w:rPr>
        <w:t xml:space="preserve"> are contained in the </w:t>
      </w:r>
      <w:r>
        <w:rPr>
          <w:rFonts w:ascii="Calibri" w:hAnsi="Calibri"/>
          <w:szCs w:val="20"/>
        </w:rPr>
        <w:t>FDOT Adopted</w:t>
      </w:r>
      <w:r w:rsidRPr="009B4D64">
        <w:rPr>
          <w:rFonts w:ascii="Calibri" w:hAnsi="Calibri"/>
          <w:szCs w:val="20"/>
        </w:rPr>
        <w:t xml:space="preserve"> Work Program.</w:t>
      </w:r>
    </w:p>
    <w:p w:rsidR="00A114A3" w:rsidRPr="009B4D64" w:rsidRDefault="00A114A3" w:rsidP="00A114A3">
      <w:pPr>
        <w:tabs>
          <w:tab w:val="left" w:pos="-1080"/>
          <w:tab w:val="left" w:pos="-720"/>
          <w:tab w:val="left" w:pos="0"/>
          <w:tab w:val="left" w:pos="360"/>
        </w:tabs>
        <w:rPr>
          <w:rFonts w:ascii="Calibri" w:hAnsi="Calibri"/>
          <w:szCs w:val="20"/>
          <w:vertAlign w:val="superscript"/>
        </w:rPr>
      </w:pPr>
      <w:r>
        <w:rPr>
          <w:rFonts w:ascii="Calibri" w:hAnsi="Calibri"/>
          <w:szCs w:val="20"/>
          <w:vertAlign w:val="superscript"/>
        </w:rPr>
        <w:t>2</w:t>
      </w:r>
      <w:r w:rsidRPr="009B4D64">
        <w:rPr>
          <w:rFonts w:ascii="Calibri" w:hAnsi="Calibri"/>
          <w:szCs w:val="20"/>
        </w:rPr>
        <w:t xml:space="preserve"> </w:t>
      </w:r>
      <w:r w:rsidR="00DC550F">
        <w:rPr>
          <w:rFonts w:ascii="Calibri" w:hAnsi="Calibri"/>
          <w:szCs w:val="20"/>
        </w:rPr>
        <w:t>“TALU” funds are for projects in Transportation Management Areas; “TALL” funds are for projects that are not in Transportation Management Areas</w:t>
      </w:r>
      <w:r w:rsidRPr="009B4D64">
        <w:rPr>
          <w:rFonts w:ascii="Calibri" w:hAnsi="Calibri"/>
          <w:szCs w:val="20"/>
        </w:rPr>
        <w:t>.</w:t>
      </w:r>
    </w:p>
    <w:p w:rsidR="00A114A3" w:rsidRPr="009B4D64" w:rsidRDefault="00A114A3" w:rsidP="00A114A3">
      <w:pPr>
        <w:tabs>
          <w:tab w:val="left" w:pos="-1080"/>
          <w:tab w:val="left" w:pos="-720"/>
          <w:tab w:val="left" w:pos="0"/>
          <w:tab w:val="left" w:pos="360"/>
        </w:tabs>
        <w:rPr>
          <w:rFonts w:ascii="Calibri" w:hAnsi="Calibri"/>
          <w:szCs w:val="20"/>
        </w:rPr>
      </w:pPr>
      <w:r>
        <w:rPr>
          <w:rFonts w:ascii="Calibri" w:hAnsi="Calibri"/>
          <w:szCs w:val="20"/>
          <w:vertAlign w:val="superscript"/>
        </w:rPr>
        <w:t>3</w:t>
      </w:r>
      <w:r w:rsidRPr="009B4D64">
        <w:rPr>
          <w:rFonts w:ascii="Calibri" w:hAnsi="Calibri"/>
          <w:szCs w:val="20"/>
        </w:rPr>
        <w:t xml:space="preserve"> </w:t>
      </w:r>
      <w:r>
        <w:rPr>
          <w:rFonts w:ascii="Calibri" w:hAnsi="Calibri"/>
          <w:szCs w:val="20"/>
        </w:rPr>
        <w:t>Rows</w:t>
      </w:r>
      <w:r w:rsidRPr="009B4D64">
        <w:rPr>
          <w:rFonts w:ascii="Calibri" w:hAnsi="Calibri"/>
          <w:szCs w:val="20"/>
        </w:rPr>
        <w:t xml:space="preserve"> sometimes do not equal the totals due to rounding. </w:t>
      </w:r>
    </w:p>
    <w:p w:rsidR="007F54B5" w:rsidRDefault="007F54B5" w:rsidP="008C306B">
      <w:pPr>
        <w:rPr>
          <w:rFonts w:ascii="Calibri" w:hAnsi="Calibri"/>
          <w:szCs w:val="20"/>
        </w:rPr>
      </w:pPr>
    </w:p>
    <w:p w:rsidR="00F2531A" w:rsidRPr="009B4D64" w:rsidRDefault="008C306B" w:rsidP="008C306B">
      <w:pPr>
        <w:rPr>
          <w:b/>
          <w:sz w:val="24"/>
        </w:rPr>
      </w:pPr>
      <w:r w:rsidRPr="009B4D64">
        <w:rPr>
          <w:b/>
          <w:sz w:val="24"/>
        </w:rPr>
        <w:t>Non-Capacity Programs</w:t>
      </w:r>
    </w:p>
    <w:p w:rsidR="00F2531A" w:rsidRPr="009B4D64" w:rsidRDefault="00F2531A" w:rsidP="008C306B">
      <w:pPr>
        <w:pStyle w:val="BodyText"/>
        <w:tabs>
          <w:tab w:val="left" w:pos="-720"/>
          <w:tab w:val="left" w:pos="0"/>
          <w:tab w:val="left" w:pos="198"/>
          <w:tab w:val="left" w:pos="378"/>
          <w:tab w:val="left" w:pos="720"/>
          <w:tab w:val="left" w:pos="1098"/>
        </w:tabs>
        <w:jc w:val="left"/>
      </w:pPr>
      <w:r w:rsidRPr="009B4D64">
        <w:t>Non-capacity programs refer to FDOT programs designed to support</w:t>
      </w:r>
      <w:r w:rsidR="000D444B" w:rsidRPr="009B4D64">
        <w:t>, operate</w:t>
      </w:r>
      <w:r w:rsidRPr="009B4D64">
        <w:t xml:space="preserve"> and maintain the state </w:t>
      </w:r>
      <w:r w:rsidR="000D444B" w:rsidRPr="009B4D64">
        <w:t>highway</w:t>
      </w:r>
      <w:r w:rsidR="00A564C5" w:rsidRPr="009B4D64">
        <w:t xml:space="preserve"> system: safety, resurfacing, bridge, product support, operations and maintenance,</w:t>
      </w:r>
      <w:r w:rsidRPr="009B4D64">
        <w:t xml:space="preserve"> and administration.  Table </w:t>
      </w:r>
      <w:r w:rsidR="00DD2181">
        <w:t>8</w:t>
      </w:r>
      <w:r w:rsidR="00DD2181" w:rsidRPr="009B4D64">
        <w:t xml:space="preserve"> </w:t>
      </w:r>
      <w:r w:rsidRPr="009B4D64">
        <w:t xml:space="preserve">includes a description of each non-capacity program and the linkage to the program categories used in the </w:t>
      </w:r>
      <w:r w:rsidR="006E63F5" w:rsidRPr="009B4D64">
        <w:t>Program and Resource Plan</w:t>
      </w:r>
      <w:r w:rsidRPr="009B4D64">
        <w:t xml:space="preserve">. </w:t>
      </w:r>
    </w:p>
    <w:p w:rsidR="00F2531A" w:rsidRPr="009B4D64" w:rsidRDefault="00F2531A" w:rsidP="008C306B">
      <w:pPr>
        <w:tabs>
          <w:tab w:val="left" w:pos="-720"/>
          <w:tab w:val="left" w:pos="0"/>
          <w:tab w:val="left" w:pos="198"/>
          <w:tab w:val="left" w:pos="378"/>
          <w:tab w:val="left" w:pos="720"/>
          <w:tab w:val="left" w:pos="1098"/>
        </w:tabs>
        <w:rPr>
          <w:sz w:val="24"/>
        </w:rPr>
      </w:pPr>
    </w:p>
    <w:p w:rsidR="00F2531A" w:rsidRPr="009B4D64" w:rsidRDefault="00F2531A" w:rsidP="008C306B">
      <w:pPr>
        <w:pStyle w:val="BodyText"/>
        <w:tabs>
          <w:tab w:val="left" w:pos="-720"/>
          <w:tab w:val="left" w:pos="0"/>
          <w:tab w:val="left" w:pos="198"/>
          <w:tab w:val="left" w:pos="378"/>
          <w:tab w:val="left" w:pos="720"/>
          <w:tab w:val="left" w:pos="1098"/>
        </w:tabs>
        <w:jc w:val="left"/>
      </w:pPr>
      <w:r w:rsidRPr="009B4D64">
        <w:t xml:space="preserve">Metropolitan estimates have not been developed for these programs.  Instead, the FDOT has included sufficient funding in the </w:t>
      </w:r>
      <w:r w:rsidR="0027281E">
        <w:t>2040</w:t>
      </w:r>
      <w:r w:rsidR="0027281E" w:rsidRPr="009B4D64">
        <w:t xml:space="preserve"> </w:t>
      </w:r>
      <w:r w:rsidRPr="009B4D64">
        <w:t>Revenue Forecast to meet the following statewide objectives</w:t>
      </w:r>
      <w:r w:rsidR="00BE4A5C">
        <w:t xml:space="preserve"> and policies</w:t>
      </w:r>
      <w:r w:rsidRPr="009B4D64">
        <w:t>:</w:t>
      </w:r>
    </w:p>
    <w:p w:rsidR="00F2531A" w:rsidRPr="009B4D64" w:rsidRDefault="00F2531A" w:rsidP="008C306B">
      <w:pPr>
        <w:pStyle w:val="a"/>
        <w:tabs>
          <w:tab w:val="left" w:pos="-720"/>
          <w:tab w:val="left" w:pos="0"/>
        </w:tabs>
        <w:ind w:left="0" w:firstLine="0"/>
        <w:rPr>
          <w:sz w:val="24"/>
        </w:rPr>
      </w:pPr>
    </w:p>
    <w:p w:rsidR="00F2531A" w:rsidRPr="009B4D64" w:rsidRDefault="00F2531A" w:rsidP="008C306B">
      <w:pPr>
        <w:pStyle w:val="a"/>
        <w:numPr>
          <w:ilvl w:val="0"/>
          <w:numId w:val="2"/>
        </w:numPr>
        <w:tabs>
          <w:tab w:val="left" w:pos="-720"/>
          <w:tab w:val="left" w:pos="0"/>
        </w:tabs>
        <w:rPr>
          <w:sz w:val="24"/>
        </w:rPr>
      </w:pPr>
      <w:r w:rsidRPr="009B4D64">
        <w:rPr>
          <w:b/>
          <w:bCs/>
          <w:sz w:val="24"/>
        </w:rPr>
        <w:t>Resurfacing program:</w:t>
      </w:r>
      <w:r w:rsidRPr="009B4D64">
        <w:rPr>
          <w:sz w:val="24"/>
        </w:rPr>
        <w:t xml:space="preserve">  Ensure that 80% of state highway system pavement meets Department standards;</w:t>
      </w:r>
    </w:p>
    <w:p w:rsidR="00F2531A" w:rsidRPr="009B4D64" w:rsidRDefault="00F2531A" w:rsidP="008C306B">
      <w:pPr>
        <w:pStyle w:val="a"/>
        <w:numPr>
          <w:ilvl w:val="0"/>
          <w:numId w:val="2"/>
        </w:numPr>
        <w:tabs>
          <w:tab w:val="left" w:pos="-720"/>
          <w:tab w:val="left" w:pos="0"/>
        </w:tabs>
        <w:rPr>
          <w:sz w:val="24"/>
        </w:rPr>
      </w:pPr>
      <w:r w:rsidRPr="009B4D64">
        <w:rPr>
          <w:b/>
          <w:bCs/>
          <w:sz w:val="24"/>
        </w:rPr>
        <w:t>Bridge program:</w:t>
      </w:r>
      <w:r w:rsidRPr="009B4D64">
        <w:rPr>
          <w:sz w:val="24"/>
        </w:rPr>
        <w:t xml:space="preserve">  Ensure that 90% of FDOT-maintained bridges meet Department standards while keeping all FDOT-maintained bridges open to the public safe;</w:t>
      </w:r>
    </w:p>
    <w:p w:rsidR="00F2531A" w:rsidRPr="009B4D64" w:rsidRDefault="00F2531A" w:rsidP="008C306B">
      <w:pPr>
        <w:pStyle w:val="a"/>
        <w:numPr>
          <w:ilvl w:val="0"/>
          <w:numId w:val="2"/>
        </w:numPr>
        <w:tabs>
          <w:tab w:val="left" w:pos="-720"/>
          <w:tab w:val="left" w:pos="0"/>
        </w:tabs>
        <w:rPr>
          <w:sz w:val="24"/>
        </w:rPr>
      </w:pPr>
      <w:r w:rsidRPr="009B4D64">
        <w:rPr>
          <w:b/>
          <w:bCs/>
          <w:sz w:val="24"/>
        </w:rPr>
        <w:t>Operations and maintenance program:</w:t>
      </w:r>
      <w:r w:rsidRPr="009B4D64">
        <w:rPr>
          <w:sz w:val="24"/>
        </w:rPr>
        <w:t xml:space="preserve">  Achieve 100% of acceptable maintenance condition standard on the state highway system; </w:t>
      </w:r>
    </w:p>
    <w:p w:rsidR="00F2531A" w:rsidRPr="009B4D64" w:rsidRDefault="00F2531A" w:rsidP="008C306B">
      <w:pPr>
        <w:pStyle w:val="a"/>
        <w:numPr>
          <w:ilvl w:val="0"/>
          <w:numId w:val="2"/>
        </w:numPr>
        <w:tabs>
          <w:tab w:val="left" w:pos="-720"/>
          <w:tab w:val="left" w:pos="0"/>
        </w:tabs>
        <w:rPr>
          <w:sz w:val="24"/>
        </w:rPr>
      </w:pPr>
      <w:r w:rsidRPr="009B4D64">
        <w:rPr>
          <w:b/>
          <w:bCs/>
          <w:sz w:val="24"/>
        </w:rPr>
        <w:t>Product Support:</w:t>
      </w:r>
      <w:r w:rsidRPr="009B4D64">
        <w:rPr>
          <w:sz w:val="24"/>
        </w:rPr>
        <w:t xml:space="preserve">  Reserve funds for Product Support required to construct improvements (</w:t>
      </w:r>
      <w:r w:rsidR="00563E30">
        <w:rPr>
          <w:sz w:val="24"/>
        </w:rPr>
        <w:t>funded with</w:t>
      </w:r>
      <w:r w:rsidRPr="009B4D64">
        <w:rPr>
          <w:sz w:val="24"/>
        </w:rPr>
        <w:t xml:space="preserve"> the forecast’s capacity funds) in each district and metropolitan area; and</w:t>
      </w:r>
    </w:p>
    <w:p w:rsidR="00F2531A" w:rsidRPr="009B4D64" w:rsidRDefault="00F2531A" w:rsidP="008C306B">
      <w:pPr>
        <w:pStyle w:val="a"/>
        <w:numPr>
          <w:ilvl w:val="0"/>
          <w:numId w:val="2"/>
        </w:numPr>
        <w:tabs>
          <w:tab w:val="left" w:pos="-720"/>
          <w:tab w:val="left" w:pos="0"/>
        </w:tabs>
        <w:rPr>
          <w:sz w:val="24"/>
        </w:rPr>
      </w:pPr>
      <w:r w:rsidRPr="009B4D64">
        <w:rPr>
          <w:b/>
          <w:bCs/>
          <w:sz w:val="24"/>
        </w:rPr>
        <w:t>Administration:</w:t>
      </w:r>
      <w:r w:rsidRPr="009B4D64">
        <w:rPr>
          <w:sz w:val="24"/>
        </w:rPr>
        <w:t xml:space="preserve"> Administer the state transportation program.  </w:t>
      </w:r>
    </w:p>
    <w:p w:rsidR="00746C67" w:rsidRPr="009B4D64" w:rsidRDefault="00746C67" w:rsidP="008C306B">
      <w:pPr>
        <w:pStyle w:val="BodyText"/>
        <w:tabs>
          <w:tab w:val="left" w:pos="-1200"/>
          <w:tab w:val="left" w:pos="-720"/>
          <w:tab w:val="left" w:pos="0"/>
          <w:tab w:val="left" w:pos="330"/>
          <w:tab w:val="left" w:pos="1440"/>
        </w:tabs>
        <w:jc w:val="left"/>
      </w:pPr>
    </w:p>
    <w:p w:rsidR="00F2531A" w:rsidRDefault="00F2531A" w:rsidP="00746C67">
      <w:pPr>
        <w:pStyle w:val="BodyText"/>
        <w:tabs>
          <w:tab w:val="left" w:pos="-1200"/>
          <w:tab w:val="left" w:pos="-720"/>
          <w:tab w:val="left" w:pos="0"/>
          <w:tab w:val="left" w:pos="330"/>
          <w:tab w:val="left" w:pos="1440"/>
        </w:tabs>
        <w:jc w:val="left"/>
      </w:pPr>
      <w:r w:rsidRPr="009B4D64">
        <w:t xml:space="preserve">The Department has reserved funds in the </w:t>
      </w:r>
      <w:r w:rsidR="0027281E">
        <w:t>2040</w:t>
      </w:r>
      <w:r w:rsidR="0027281E" w:rsidRPr="009B4D64">
        <w:t xml:space="preserve"> </w:t>
      </w:r>
      <w:r w:rsidRPr="009B4D64">
        <w:t xml:space="preserve">Revenue Forecast to carry out its responsibilities and achieve its objectives for the non-capacity programs on the state highway system in each district and metropolitan area.  Table </w:t>
      </w:r>
      <w:r w:rsidR="00DD2181">
        <w:t>9</w:t>
      </w:r>
      <w:r w:rsidR="00DD2181" w:rsidRPr="009B4D64">
        <w:t xml:space="preserve"> </w:t>
      </w:r>
      <w:r w:rsidRPr="009B4D64">
        <w:t>identifies the statewide estimates for non-capacity programs.  About $</w:t>
      </w:r>
      <w:r w:rsidR="006E63F5" w:rsidRPr="009B4D64">
        <w:t>1</w:t>
      </w:r>
      <w:r w:rsidR="0027281E">
        <w:t>06</w:t>
      </w:r>
      <w:r w:rsidRPr="009B4D64">
        <w:t xml:space="preserve"> billion (</w:t>
      </w:r>
      <w:r w:rsidR="0027281E">
        <w:t>49</w:t>
      </w:r>
      <w:r w:rsidRPr="009B4D64">
        <w:t>% of total revenues) is forecast for the non-capacity programs.</w:t>
      </w:r>
    </w:p>
    <w:p w:rsidR="00BE4A5C" w:rsidRDefault="00BE4A5C" w:rsidP="00746C67">
      <w:pPr>
        <w:pStyle w:val="BodyText"/>
        <w:tabs>
          <w:tab w:val="left" w:pos="-1200"/>
          <w:tab w:val="left" w:pos="-720"/>
          <w:tab w:val="left" w:pos="0"/>
          <w:tab w:val="left" w:pos="330"/>
          <w:tab w:val="left" w:pos="1440"/>
        </w:tabs>
        <w:jc w:val="left"/>
      </w:pPr>
    </w:p>
    <w:p w:rsidR="0027281E" w:rsidRPr="009B4D64" w:rsidRDefault="0027281E" w:rsidP="00746C67">
      <w:pPr>
        <w:pStyle w:val="BodyText"/>
        <w:tabs>
          <w:tab w:val="left" w:pos="-1200"/>
          <w:tab w:val="left" w:pos="-720"/>
          <w:tab w:val="left" w:pos="0"/>
          <w:tab w:val="left" w:pos="330"/>
          <w:tab w:val="left" w:pos="1440"/>
        </w:tabs>
        <w:jc w:val="left"/>
      </w:pPr>
      <w:r>
        <w:t>Table 10</w:t>
      </w:r>
      <w:r w:rsidRPr="0027281E">
        <w:t xml:space="preserve"> contains districtwide estimates for State Highway System Operations and Maintenance expenditures for information purposes. These estimates are provided pursuant to an agreement between FDOT and the Federal Highway Administration Division Office regarding the reporting of estimates of Operations and Maintenance costs for the State Highway System at the district level in MPO long range plans.</w:t>
      </w:r>
    </w:p>
    <w:p w:rsidR="00F2531A" w:rsidRPr="009B4D64" w:rsidRDefault="00F2531A" w:rsidP="008C306B">
      <w:pPr>
        <w:rPr>
          <w:sz w:val="24"/>
        </w:rPr>
      </w:pPr>
    </w:p>
    <w:p w:rsidR="00F2531A" w:rsidRPr="009B4D64" w:rsidRDefault="00F2531A" w:rsidP="008C306B">
      <w:pPr>
        <w:jc w:val="center"/>
        <w:rPr>
          <w:rFonts w:ascii="Calibri" w:hAnsi="Calibri"/>
          <w:sz w:val="24"/>
        </w:rPr>
      </w:pPr>
      <w:r w:rsidRPr="009B4D64">
        <w:rPr>
          <w:sz w:val="24"/>
        </w:rPr>
        <w:br w:type="page"/>
      </w:r>
      <w:r w:rsidRPr="009B4D64">
        <w:rPr>
          <w:rFonts w:ascii="Calibri" w:hAnsi="Calibri"/>
          <w:b/>
          <w:bCs/>
          <w:sz w:val="24"/>
        </w:rPr>
        <w:lastRenderedPageBreak/>
        <w:t xml:space="preserve">TABLE </w:t>
      </w:r>
      <w:r w:rsidR="00DD2181">
        <w:rPr>
          <w:rFonts w:ascii="Calibri" w:hAnsi="Calibri"/>
          <w:b/>
          <w:bCs/>
          <w:sz w:val="24"/>
        </w:rPr>
        <w:t>8</w:t>
      </w:r>
      <w:r w:rsidR="006A53EF">
        <w:rPr>
          <w:rFonts w:ascii="Calibri" w:hAnsi="Calibri"/>
          <w:b/>
          <w:bCs/>
          <w:sz w:val="24"/>
        </w:rPr>
        <w:t xml:space="preserve"> </w:t>
      </w:r>
    </w:p>
    <w:p w:rsidR="00F2531A" w:rsidRPr="009B4D64" w:rsidRDefault="00F2531A" w:rsidP="00F2531A">
      <w:pPr>
        <w:jc w:val="center"/>
        <w:rPr>
          <w:rFonts w:ascii="Calibri" w:hAnsi="Calibri"/>
          <w:b/>
          <w:bCs/>
          <w:sz w:val="24"/>
        </w:rPr>
      </w:pPr>
      <w:r w:rsidRPr="009B4D64">
        <w:rPr>
          <w:rFonts w:ascii="Calibri" w:hAnsi="Calibri"/>
          <w:b/>
          <w:bCs/>
          <w:sz w:val="24"/>
        </w:rPr>
        <w:t>Major Non-Capaci</w:t>
      </w:r>
      <w:r w:rsidR="006A53EF">
        <w:rPr>
          <w:rFonts w:ascii="Calibri" w:hAnsi="Calibri"/>
          <w:b/>
          <w:bCs/>
          <w:sz w:val="24"/>
        </w:rPr>
        <w:t>ty Programs Included in the 2040</w:t>
      </w:r>
      <w:r w:rsidRPr="009B4D64">
        <w:rPr>
          <w:rFonts w:ascii="Calibri" w:hAnsi="Calibri"/>
          <w:b/>
          <w:bCs/>
          <w:sz w:val="24"/>
        </w:rPr>
        <w:t xml:space="preserve"> Revenue Forecast</w:t>
      </w:r>
    </w:p>
    <w:p w:rsidR="00F2531A" w:rsidRPr="009B4D64" w:rsidRDefault="00F2531A" w:rsidP="00F2531A">
      <w:pPr>
        <w:jc w:val="center"/>
        <w:rPr>
          <w:rFonts w:ascii="Calibri" w:hAnsi="Calibri"/>
          <w:b/>
          <w:bCs/>
          <w:sz w:val="24"/>
        </w:rPr>
      </w:pPr>
      <w:r w:rsidRPr="009B4D64">
        <w:rPr>
          <w:rFonts w:ascii="Calibri" w:hAnsi="Calibri"/>
          <w:b/>
          <w:bCs/>
          <w:sz w:val="24"/>
        </w:rPr>
        <w:t>and Corresponding Program Categories in the Program and Resource Plan (PRP)</w:t>
      </w:r>
    </w:p>
    <w:p w:rsidR="00F2531A" w:rsidRPr="009B4D64" w:rsidRDefault="00F2531A" w:rsidP="00F2531A">
      <w:pPr>
        <w:rPr>
          <w:rFonts w:ascii="Calibri" w:hAnsi="Calibri"/>
          <w:b/>
          <w:bCs/>
          <w:sz w:val="24"/>
        </w:rPr>
      </w:pPr>
    </w:p>
    <w:p w:rsidR="00F2531A" w:rsidRPr="009B4D64" w:rsidRDefault="00F2531A" w:rsidP="00F2531A">
      <w:pPr>
        <w:rPr>
          <w:rFonts w:ascii="Calibri" w:hAnsi="Calibri"/>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5760"/>
        <w:gridCol w:w="3600"/>
      </w:tblGrid>
      <w:tr w:rsidR="00F2531A" w:rsidRPr="009B4D64" w:rsidTr="007F5668">
        <w:tc>
          <w:tcPr>
            <w:tcW w:w="5760" w:type="dxa"/>
            <w:tcBorders>
              <w:top w:val="single" w:sz="7" w:space="0" w:color="000000"/>
              <w:left w:val="single" w:sz="7" w:space="0" w:color="000000"/>
              <w:bottom w:val="single" w:sz="7" w:space="0" w:color="000000"/>
              <w:right w:val="single" w:sz="7" w:space="0" w:color="000000"/>
            </w:tcBorders>
          </w:tcPr>
          <w:p w:rsidR="00F2531A" w:rsidRPr="009B4D64" w:rsidRDefault="00F2531A" w:rsidP="00815625">
            <w:pPr>
              <w:spacing w:line="120" w:lineRule="exact"/>
              <w:rPr>
                <w:rFonts w:ascii="Calibri" w:hAnsi="Calibri"/>
                <w:sz w:val="24"/>
              </w:rPr>
            </w:pPr>
          </w:p>
          <w:p w:rsidR="00F2531A" w:rsidRPr="009B4D64" w:rsidRDefault="008B58B3" w:rsidP="00815625">
            <w:pPr>
              <w:tabs>
                <w:tab w:val="left" w:pos="-1200"/>
                <w:tab w:val="left" w:pos="-720"/>
                <w:tab w:val="left" w:pos="0"/>
                <w:tab w:val="left" w:pos="330"/>
                <w:tab w:val="left" w:pos="1440"/>
              </w:tabs>
              <w:spacing w:after="58"/>
              <w:rPr>
                <w:rFonts w:ascii="Calibri" w:hAnsi="Calibri"/>
                <w:sz w:val="24"/>
              </w:rPr>
            </w:pPr>
            <w:r>
              <w:rPr>
                <w:rFonts w:ascii="Calibri" w:hAnsi="Calibri"/>
                <w:b/>
                <w:bCs/>
                <w:sz w:val="24"/>
              </w:rPr>
              <w:t>2040</w:t>
            </w:r>
            <w:r w:rsidR="00F2531A" w:rsidRPr="009B4D64">
              <w:rPr>
                <w:rFonts w:ascii="Calibri" w:hAnsi="Calibri"/>
                <w:b/>
                <w:bCs/>
                <w:sz w:val="24"/>
              </w:rPr>
              <w:t xml:space="preserve"> Revenue Forecast Programs</w:t>
            </w:r>
          </w:p>
        </w:tc>
        <w:tc>
          <w:tcPr>
            <w:tcW w:w="3600" w:type="dxa"/>
            <w:tcBorders>
              <w:top w:val="single" w:sz="7" w:space="0" w:color="000000"/>
              <w:left w:val="single" w:sz="7" w:space="0" w:color="000000"/>
              <w:bottom w:val="single" w:sz="7" w:space="0" w:color="000000"/>
              <w:right w:val="single" w:sz="7" w:space="0" w:color="000000"/>
            </w:tcBorders>
          </w:tcPr>
          <w:p w:rsidR="00F2531A" w:rsidRPr="009B4D64" w:rsidRDefault="00F2531A" w:rsidP="00815625">
            <w:pPr>
              <w:spacing w:line="120" w:lineRule="exact"/>
              <w:rPr>
                <w:rFonts w:ascii="Calibri" w:hAnsi="Calibri"/>
                <w:sz w:val="24"/>
              </w:rPr>
            </w:pPr>
          </w:p>
          <w:p w:rsidR="00F2531A" w:rsidRPr="009B4D64" w:rsidRDefault="00F2531A" w:rsidP="00815625">
            <w:pPr>
              <w:tabs>
                <w:tab w:val="left" w:pos="-1200"/>
                <w:tab w:val="left" w:pos="-720"/>
                <w:tab w:val="left" w:pos="0"/>
                <w:tab w:val="left" w:pos="330"/>
                <w:tab w:val="left" w:pos="1440"/>
              </w:tabs>
              <w:spacing w:after="58"/>
              <w:rPr>
                <w:rFonts w:ascii="Calibri" w:hAnsi="Calibri"/>
                <w:sz w:val="24"/>
              </w:rPr>
            </w:pPr>
            <w:r w:rsidRPr="009B4D64">
              <w:rPr>
                <w:rFonts w:ascii="Calibri" w:hAnsi="Calibri"/>
                <w:b/>
                <w:bCs/>
                <w:sz w:val="24"/>
              </w:rPr>
              <w:t>PRP Program Categories</w:t>
            </w: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Safety</w:t>
            </w:r>
            <w:r w:rsidRPr="008A4E04">
              <w:rPr>
                <w:rFonts w:ascii="Calibri" w:hAnsi="Calibri"/>
                <w:sz w:val="22"/>
                <w:szCs w:val="22"/>
              </w:rPr>
              <w:t xml:space="preserve"> - Includes the Highway Safety Improvement Program, the Highway Safety Grant Program, Bicycle/Pedestrian Safety activities, the Industrial Safety Program, and general safety issues on a Department-wide basis.</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Highway Safety</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r w:rsidRPr="009B4D64">
              <w:rPr>
                <w:rFonts w:ascii="Calibri" w:hAnsi="Calibri"/>
                <w:szCs w:val="20"/>
              </w:rPr>
              <w:t>Grants</w:t>
            </w: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 xml:space="preserve">Resurfacing </w:t>
            </w:r>
            <w:r w:rsidRPr="008A4E04">
              <w:rPr>
                <w:rFonts w:ascii="Calibri" w:hAnsi="Calibri"/>
                <w:sz w:val="22"/>
                <w:szCs w:val="22"/>
              </w:rPr>
              <w:t>- Resurfacing of pavements on the State Highway System and local roads as provided by state law.</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Interstate </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Arterial and Freeway </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Off-System </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r w:rsidRPr="009B4D64">
              <w:rPr>
                <w:rFonts w:ascii="Calibri" w:hAnsi="Calibri"/>
                <w:szCs w:val="20"/>
              </w:rPr>
              <w:t xml:space="preserve">Turnpike </w:t>
            </w: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Bridge</w:t>
            </w:r>
            <w:r w:rsidRPr="008A4E04">
              <w:rPr>
                <w:rFonts w:ascii="Calibri" w:hAnsi="Calibri"/>
                <w:sz w:val="22"/>
                <w:szCs w:val="22"/>
              </w:rPr>
              <w:t xml:space="preserve"> - Repair and replace deficient bridges on the state highway system.  In addition, not less than 15% of the amount of 2009 federal bridge funds must be expended off the federal highway system (e.g., on local bridges not on the State Highway System).</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Repair - On System</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Replace - On System</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Local Bridge Replacement</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r w:rsidRPr="009B4D64">
              <w:rPr>
                <w:rFonts w:ascii="Calibri" w:hAnsi="Calibri"/>
                <w:szCs w:val="20"/>
              </w:rPr>
              <w:t>Turnpike</w:t>
            </w: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Product Support</w:t>
            </w:r>
            <w:r w:rsidRPr="008A4E04">
              <w:rPr>
                <w:rFonts w:ascii="Calibri" w:hAnsi="Calibri"/>
                <w:sz w:val="22"/>
                <w:szCs w:val="22"/>
              </w:rPr>
              <w:t xml:space="preserve"> - Planning and engineering required to “produce” FDOT products and services (i.e., each capacity program; Safety, Resurfacing, and Bridge Programs).  </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Preliminary Engineering </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Construction Engineering Inspection</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Right of Way Support</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Environmental Mitigation</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Materials &amp; Research</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Planning </w:t>
            </w:r>
            <w:r>
              <w:rPr>
                <w:rFonts w:ascii="Calibri" w:hAnsi="Calibri"/>
                <w:szCs w:val="20"/>
              </w:rPr>
              <w:t>&amp; Environment</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r w:rsidRPr="009B4D64">
              <w:rPr>
                <w:rFonts w:ascii="Calibri" w:hAnsi="Calibri"/>
                <w:szCs w:val="20"/>
              </w:rPr>
              <w:t>Public Transportation Operations</w:t>
            </w: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Operations &amp; Maintenance</w:t>
            </w:r>
            <w:r w:rsidRPr="008A4E04">
              <w:rPr>
                <w:rFonts w:ascii="Calibri" w:hAnsi="Calibri"/>
                <w:b/>
                <w:bCs/>
                <w:sz w:val="22"/>
                <w:szCs w:val="22"/>
              </w:rPr>
              <w:t xml:space="preserve"> - </w:t>
            </w:r>
            <w:r w:rsidRPr="008A4E04">
              <w:rPr>
                <w:rFonts w:ascii="Calibri" w:hAnsi="Calibri"/>
                <w:sz w:val="22"/>
                <w:szCs w:val="22"/>
              </w:rPr>
              <w:t>Activities to support and maintain transportation infrastructure once it is constructed and in place.</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Pr>
                <w:rFonts w:ascii="Calibri" w:hAnsi="Calibri"/>
                <w:szCs w:val="20"/>
              </w:rPr>
              <w:t>Operations &amp;</w:t>
            </w:r>
            <w:r w:rsidRPr="009B4D64">
              <w:rPr>
                <w:rFonts w:ascii="Calibri" w:hAnsi="Calibri"/>
                <w:szCs w:val="20"/>
              </w:rPr>
              <w:t xml:space="preserve"> Maintenance</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Traffic Engineering</w:t>
            </w:r>
            <w:r>
              <w:rPr>
                <w:rFonts w:ascii="Calibri" w:hAnsi="Calibri"/>
                <w:szCs w:val="20"/>
              </w:rPr>
              <w:t xml:space="preserve"> &amp; Operations</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Toll Operations</w:t>
            </w: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 xml:space="preserve">Motor Carrier Compliance </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p>
        </w:tc>
      </w:tr>
      <w:tr w:rsidR="006A53EF" w:rsidRPr="009B4D64" w:rsidTr="007F5668">
        <w:tc>
          <w:tcPr>
            <w:tcW w:w="5760" w:type="dxa"/>
            <w:tcBorders>
              <w:top w:val="single" w:sz="7" w:space="0" w:color="000000"/>
              <w:left w:val="single" w:sz="7" w:space="0" w:color="000000"/>
              <w:bottom w:val="single" w:sz="7" w:space="0" w:color="000000"/>
              <w:right w:val="single" w:sz="7" w:space="0" w:color="000000"/>
            </w:tcBorders>
          </w:tcPr>
          <w:p w:rsidR="006A53EF" w:rsidRPr="008A4E04" w:rsidRDefault="006A53EF" w:rsidP="006A53EF">
            <w:pPr>
              <w:spacing w:line="120" w:lineRule="exact"/>
              <w:rPr>
                <w:rFonts w:ascii="Calibri" w:hAnsi="Calibri"/>
                <w:sz w:val="22"/>
                <w:szCs w:val="22"/>
              </w:rPr>
            </w:pPr>
          </w:p>
          <w:p w:rsidR="006A53EF" w:rsidRPr="008A4E04" w:rsidRDefault="006A53EF" w:rsidP="006A53EF">
            <w:pPr>
              <w:widowControl/>
              <w:tabs>
                <w:tab w:val="left" w:pos="-1080"/>
                <w:tab w:val="left" w:pos="-720"/>
                <w:tab w:val="left" w:pos="0"/>
                <w:tab w:val="left" w:pos="360"/>
              </w:tabs>
              <w:spacing w:after="58"/>
              <w:rPr>
                <w:rFonts w:ascii="Calibri" w:hAnsi="Calibri"/>
                <w:sz w:val="22"/>
                <w:szCs w:val="22"/>
              </w:rPr>
            </w:pPr>
            <w:r w:rsidRPr="008A4E04">
              <w:rPr>
                <w:rFonts w:ascii="Calibri" w:hAnsi="Calibri"/>
                <w:sz w:val="22"/>
                <w:szCs w:val="22"/>
                <w:u w:val="single"/>
              </w:rPr>
              <w:t>Administration</w:t>
            </w:r>
            <w:r w:rsidRPr="008A4E04">
              <w:rPr>
                <w:rFonts w:ascii="Calibri" w:hAnsi="Calibri"/>
                <w:sz w:val="22"/>
                <w:szCs w:val="22"/>
              </w:rPr>
              <w:t xml:space="preserve"> - Resources required to perform the fiscal, budget, personnel, executive direction, document reproduction, and contract functions.  Also includes the Fixed Capital Outlay Program, which provides for the purchase, construction, and improvement of non-highway fixed assets (e.g., offices, maintenance yards).   </w:t>
            </w:r>
          </w:p>
        </w:tc>
        <w:tc>
          <w:tcPr>
            <w:tcW w:w="3600" w:type="dxa"/>
            <w:tcBorders>
              <w:top w:val="single" w:sz="7" w:space="0" w:color="000000"/>
              <w:left w:val="single" w:sz="7" w:space="0" w:color="000000"/>
              <w:bottom w:val="single" w:sz="7" w:space="0" w:color="000000"/>
              <w:right w:val="single" w:sz="7" w:space="0" w:color="000000"/>
            </w:tcBorders>
          </w:tcPr>
          <w:p w:rsidR="006A53EF" w:rsidRPr="009B4D64" w:rsidRDefault="006A53EF" w:rsidP="00815625">
            <w:pPr>
              <w:spacing w:line="120" w:lineRule="exact"/>
              <w:rPr>
                <w:rFonts w:ascii="Calibri" w:hAnsi="Calibri"/>
                <w:szCs w:val="20"/>
              </w:rPr>
            </w:pPr>
          </w:p>
          <w:p w:rsidR="006A53EF" w:rsidRPr="009B4D64" w:rsidRDefault="006A53EF" w:rsidP="00815625">
            <w:pPr>
              <w:tabs>
                <w:tab w:val="left" w:pos="-1200"/>
                <w:tab w:val="left" w:pos="-720"/>
                <w:tab w:val="left" w:pos="0"/>
                <w:tab w:val="left" w:pos="330"/>
                <w:tab w:val="left" w:pos="1440"/>
              </w:tabs>
              <w:rPr>
                <w:rFonts w:ascii="Calibri" w:hAnsi="Calibri"/>
                <w:szCs w:val="20"/>
              </w:rPr>
            </w:pPr>
            <w:r w:rsidRPr="009B4D64">
              <w:rPr>
                <w:rFonts w:ascii="Calibri" w:hAnsi="Calibri"/>
                <w:szCs w:val="20"/>
              </w:rPr>
              <w:t>Administration</w:t>
            </w:r>
          </w:p>
          <w:p w:rsidR="006A53EF" w:rsidRDefault="006A53EF" w:rsidP="00815625">
            <w:pPr>
              <w:tabs>
                <w:tab w:val="left" w:pos="-1200"/>
                <w:tab w:val="left" w:pos="-720"/>
                <w:tab w:val="left" w:pos="0"/>
                <w:tab w:val="left" w:pos="330"/>
                <w:tab w:val="left" w:pos="1440"/>
              </w:tabs>
              <w:spacing w:after="58"/>
              <w:rPr>
                <w:rFonts w:ascii="Calibri" w:hAnsi="Calibri"/>
                <w:szCs w:val="20"/>
              </w:rPr>
            </w:pPr>
            <w:r w:rsidRPr="009B4D64">
              <w:rPr>
                <w:rFonts w:ascii="Calibri" w:hAnsi="Calibri"/>
                <w:szCs w:val="20"/>
              </w:rPr>
              <w:t>Fixed Capital Outlay</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r>
              <w:rPr>
                <w:rFonts w:ascii="Calibri" w:hAnsi="Calibri"/>
                <w:szCs w:val="20"/>
              </w:rPr>
              <w:t>Office Information Systems</w:t>
            </w:r>
          </w:p>
          <w:p w:rsidR="006A53EF" w:rsidRPr="009B4D64" w:rsidRDefault="006A53EF" w:rsidP="00815625">
            <w:pPr>
              <w:tabs>
                <w:tab w:val="left" w:pos="-1200"/>
                <w:tab w:val="left" w:pos="-720"/>
                <w:tab w:val="left" w:pos="0"/>
                <w:tab w:val="left" w:pos="330"/>
                <w:tab w:val="left" w:pos="1440"/>
              </w:tabs>
              <w:spacing w:after="58"/>
              <w:rPr>
                <w:rFonts w:ascii="Calibri" w:hAnsi="Calibri"/>
                <w:szCs w:val="20"/>
              </w:rPr>
            </w:pPr>
          </w:p>
        </w:tc>
      </w:tr>
    </w:tbl>
    <w:p w:rsidR="00000D03" w:rsidRPr="009B4D64" w:rsidRDefault="00000D03" w:rsidP="008933DA">
      <w:pPr>
        <w:jc w:val="center"/>
        <w:rPr>
          <w:rFonts w:ascii="Calibri" w:hAnsi="Calibri"/>
          <w:b/>
          <w:sz w:val="24"/>
        </w:rPr>
      </w:pPr>
      <w:r w:rsidRPr="009B4D64">
        <w:rPr>
          <w:szCs w:val="20"/>
        </w:rPr>
        <w:br w:type="page"/>
      </w:r>
      <w:r w:rsidR="00EB2AE7">
        <w:rPr>
          <w:rFonts w:ascii="Calibri" w:hAnsi="Calibri"/>
          <w:b/>
          <w:sz w:val="24"/>
        </w:rPr>
        <w:lastRenderedPageBreak/>
        <w:t xml:space="preserve">Table </w:t>
      </w:r>
      <w:r w:rsidR="00DD2181">
        <w:rPr>
          <w:rFonts w:ascii="Calibri" w:hAnsi="Calibri"/>
          <w:b/>
          <w:sz w:val="24"/>
        </w:rPr>
        <w:t>9</w:t>
      </w:r>
    </w:p>
    <w:p w:rsidR="00000D03" w:rsidRPr="009B4D64" w:rsidRDefault="006A53EF" w:rsidP="00000D03">
      <w:pPr>
        <w:jc w:val="center"/>
        <w:rPr>
          <w:rFonts w:ascii="Calibri" w:hAnsi="Calibri"/>
          <w:b/>
          <w:sz w:val="24"/>
        </w:rPr>
      </w:pPr>
      <w:r w:rsidRPr="006A53EF">
        <w:rPr>
          <w:rFonts w:ascii="Calibri" w:hAnsi="Calibri"/>
          <w:b/>
          <w:sz w:val="24"/>
        </w:rPr>
        <w:t xml:space="preserve">Statewide Non-Capacity Program </w:t>
      </w:r>
      <w:r w:rsidR="00000D03" w:rsidRPr="009B4D64">
        <w:rPr>
          <w:rFonts w:ascii="Calibri" w:hAnsi="Calibri"/>
          <w:b/>
          <w:sz w:val="24"/>
        </w:rPr>
        <w:t>Estimates</w:t>
      </w:r>
    </w:p>
    <w:p w:rsidR="00000D03" w:rsidRPr="009B4D64" w:rsidRDefault="005B64CE" w:rsidP="00000D03">
      <w:pPr>
        <w:jc w:val="center"/>
        <w:rPr>
          <w:rFonts w:ascii="Calibri" w:hAnsi="Calibri"/>
          <w:b/>
          <w:sz w:val="24"/>
        </w:rPr>
      </w:pPr>
      <w:r w:rsidRPr="009B4D64">
        <w:rPr>
          <w:rFonts w:ascii="Calibri" w:hAnsi="Calibri"/>
          <w:b/>
          <w:sz w:val="24"/>
        </w:rPr>
        <w:t xml:space="preserve">State and Federal Funds from the </w:t>
      </w:r>
      <w:r w:rsidR="006A53EF">
        <w:rPr>
          <w:rFonts w:ascii="Calibri" w:hAnsi="Calibri"/>
          <w:b/>
          <w:sz w:val="24"/>
        </w:rPr>
        <w:t>2040</w:t>
      </w:r>
      <w:r w:rsidR="00000D03" w:rsidRPr="009B4D64">
        <w:rPr>
          <w:rFonts w:ascii="Calibri" w:hAnsi="Calibri"/>
          <w:b/>
          <w:sz w:val="24"/>
        </w:rPr>
        <w:t xml:space="preserve"> </w:t>
      </w:r>
      <w:r w:rsidR="006E63F5" w:rsidRPr="009B4D64">
        <w:rPr>
          <w:rFonts w:ascii="Calibri" w:hAnsi="Calibri"/>
          <w:b/>
          <w:sz w:val="24"/>
        </w:rPr>
        <w:t>Revenue Forecast (Millions of</w:t>
      </w:r>
      <w:r w:rsidR="00000D03" w:rsidRPr="009B4D64">
        <w:rPr>
          <w:rFonts w:ascii="Calibri" w:hAnsi="Calibri"/>
          <w:b/>
          <w:sz w:val="24"/>
        </w:rPr>
        <w:t xml:space="preserve"> Dollars)</w:t>
      </w:r>
    </w:p>
    <w:p w:rsidR="00000D03" w:rsidRPr="009B4D64" w:rsidRDefault="00000D03" w:rsidP="00000D03">
      <w:pPr>
        <w:rPr>
          <w:rFonts w:ascii="Calibri" w:hAnsi="Calibri"/>
          <w:sz w:val="24"/>
        </w:rPr>
      </w:pPr>
    </w:p>
    <w:tbl>
      <w:tblPr>
        <w:tblW w:w="9815" w:type="dxa"/>
        <w:jc w:val="center"/>
        <w:tblLook w:val="0000" w:firstRow="0" w:lastRow="0" w:firstColumn="0" w:lastColumn="0" w:noHBand="0" w:noVBand="0"/>
      </w:tblPr>
      <w:tblGrid>
        <w:gridCol w:w="3468"/>
        <w:gridCol w:w="1037"/>
        <w:gridCol w:w="990"/>
        <w:gridCol w:w="990"/>
        <w:gridCol w:w="990"/>
        <w:gridCol w:w="995"/>
        <w:gridCol w:w="1345"/>
      </w:tblGrid>
      <w:tr w:rsidR="006E63F5" w:rsidRPr="009B4D64" w:rsidTr="00241337">
        <w:trPr>
          <w:trHeight w:val="420"/>
          <w:jc w:val="center"/>
        </w:trPr>
        <w:tc>
          <w:tcPr>
            <w:tcW w:w="3468"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6E63F5" w:rsidRPr="009B4D64" w:rsidRDefault="006E63F5" w:rsidP="006E63F5">
            <w:pPr>
              <w:rPr>
                <w:rFonts w:ascii="Calibri" w:hAnsi="Calibri"/>
                <w:b/>
                <w:bCs/>
              </w:rPr>
            </w:pPr>
            <w:r w:rsidRPr="009B4D64">
              <w:rPr>
                <w:rFonts w:ascii="Calibri" w:hAnsi="Calibri"/>
                <w:b/>
                <w:bCs/>
              </w:rPr>
              <w:t>Major Programs</w:t>
            </w:r>
          </w:p>
        </w:tc>
        <w:tc>
          <w:tcPr>
            <w:tcW w:w="5002" w:type="dxa"/>
            <w:gridSpan w:val="5"/>
            <w:tcBorders>
              <w:top w:val="single" w:sz="12" w:space="0" w:color="auto"/>
              <w:left w:val="single" w:sz="4" w:space="0" w:color="auto"/>
              <w:right w:val="single" w:sz="4" w:space="0" w:color="000000"/>
            </w:tcBorders>
            <w:tcMar>
              <w:left w:w="43" w:type="dxa"/>
              <w:right w:w="43" w:type="dxa"/>
            </w:tcMar>
            <w:vAlign w:val="center"/>
          </w:tcPr>
          <w:p w:rsidR="006E63F5" w:rsidRPr="009B4D64" w:rsidRDefault="006E63F5" w:rsidP="006E63F5">
            <w:pPr>
              <w:jc w:val="center"/>
              <w:rPr>
                <w:rFonts w:ascii="Calibri" w:hAnsi="Calibri"/>
                <w:b/>
                <w:bCs/>
              </w:rPr>
            </w:pPr>
            <w:r w:rsidRPr="009B4D64">
              <w:rPr>
                <w:rFonts w:ascii="Calibri" w:hAnsi="Calibri"/>
                <w:b/>
                <w:bCs/>
              </w:rPr>
              <w:t>5-Year Period (Fiscal Years)</w:t>
            </w:r>
          </w:p>
        </w:tc>
        <w:tc>
          <w:tcPr>
            <w:tcW w:w="1345" w:type="dxa"/>
            <w:tcBorders>
              <w:top w:val="single" w:sz="12" w:space="0" w:color="auto"/>
              <w:left w:val="single" w:sz="4" w:space="0" w:color="auto"/>
              <w:bottom w:val="single" w:sz="4" w:space="0" w:color="000000"/>
              <w:right w:val="single" w:sz="12" w:space="0" w:color="auto"/>
            </w:tcBorders>
            <w:shd w:val="clear" w:color="auto" w:fill="auto"/>
            <w:tcMar>
              <w:left w:w="43" w:type="dxa"/>
              <w:right w:w="43" w:type="dxa"/>
            </w:tcMar>
            <w:vAlign w:val="center"/>
          </w:tcPr>
          <w:p w:rsidR="006E63F5" w:rsidRPr="00241337" w:rsidRDefault="006E63F5" w:rsidP="006E63F5">
            <w:pPr>
              <w:tabs>
                <w:tab w:val="left" w:pos="-1080"/>
                <w:tab w:val="left" w:pos="-720"/>
                <w:tab w:val="left" w:pos="0"/>
                <w:tab w:val="left" w:pos="360"/>
              </w:tabs>
              <w:jc w:val="center"/>
              <w:rPr>
                <w:rFonts w:ascii="Calibri" w:hAnsi="Calibri"/>
                <w:b/>
                <w:bCs/>
                <w:szCs w:val="20"/>
              </w:rPr>
            </w:pPr>
            <w:r w:rsidRPr="00241337">
              <w:rPr>
                <w:rFonts w:ascii="Calibri" w:hAnsi="Calibri"/>
                <w:b/>
                <w:bCs/>
                <w:szCs w:val="20"/>
              </w:rPr>
              <w:t>27-Year Total</w:t>
            </w:r>
            <w:r w:rsidRPr="00241337">
              <w:rPr>
                <w:rFonts w:ascii="Calibri" w:hAnsi="Calibri"/>
                <w:szCs w:val="20"/>
                <w:vertAlign w:val="superscript"/>
              </w:rPr>
              <w:t>2</w:t>
            </w:r>
          </w:p>
        </w:tc>
      </w:tr>
      <w:tr w:rsidR="00241337" w:rsidRPr="009B4D64" w:rsidTr="00241337">
        <w:trPr>
          <w:trHeight w:val="315"/>
          <w:jc w:val="center"/>
        </w:trPr>
        <w:tc>
          <w:tcPr>
            <w:tcW w:w="3468" w:type="dxa"/>
            <w:vMerge/>
            <w:tcBorders>
              <w:top w:val="single" w:sz="12" w:space="0" w:color="auto"/>
              <w:left w:val="single" w:sz="12" w:space="0" w:color="auto"/>
              <w:bottom w:val="single" w:sz="4" w:space="0" w:color="000000"/>
              <w:right w:val="single" w:sz="4" w:space="0" w:color="auto"/>
            </w:tcBorders>
            <w:vAlign w:val="center"/>
          </w:tcPr>
          <w:p w:rsidR="00241337" w:rsidRPr="009B4D64" w:rsidRDefault="00241337" w:rsidP="006E63F5">
            <w:pPr>
              <w:rPr>
                <w:rFonts w:ascii="Calibri" w:hAnsi="Calibri"/>
                <w:b/>
                <w:bCs/>
                <w:szCs w:val="20"/>
              </w:rPr>
            </w:pPr>
          </w:p>
        </w:tc>
        <w:tc>
          <w:tcPr>
            <w:tcW w:w="1037" w:type="dxa"/>
            <w:tcBorders>
              <w:top w:val="single" w:sz="4" w:space="0" w:color="000000"/>
              <w:left w:val="nil"/>
              <w:bottom w:val="single" w:sz="4" w:space="0" w:color="auto"/>
              <w:right w:val="single" w:sz="4" w:space="0" w:color="auto"/>
            </w:tcBorders>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20014</w:t>
            </w:r>
            <w:r w:rsidRPr="009B4D64">
              <w:rPr>
                <w:rFonts w:ascii="Calibri" w:hAnsi="Calibri"/>
                <w:b/>
                <w:bCs/>
                <w:szCs w:val="20"/>
              </w:rPr>
              <w:t>-1</w:t>
            </w:r>
            <w:r>
              <w:rPr>
                <w:rFonts w:ascii="Calibri" w:hAnsi="Calibri"/>
                <w:b/>
                <w:bCs/>
                <w:szCs w:val="20"/>
              </w:rPr>
              <w:t>5</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sidRPr="009B4D64">
              <w:rPr>
                <w:rFonts w:ascii="Calibri" w:hAnsi="Calibri"/>
                <w:b/>
                <w:bCs/>
                <w:szCs w:val="20"/>
              </w:rPr>
              <w:t>2016-20</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sidRPr="009B4D64">
              <w:rPr>
                <w:rFonts w:ascii="Calibri" w:hAnsi="Calibri"/>
                <w:b/>
                <w:bCs/>
                <w:szCs w:val="20"/>
              </w:rPr>
              <w:t>2021-25</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9B4D64">
              <w:rPr>
                <w:rFonts w:ascii="Calibri" w:hAnsi="Calibri"/>
                <w:b/>
                <w:bCs/>
                <w:szCs w:val="20"/>
              </w:rPr>
              <w:t>-30</w:t>
            </w:r>
          </w:p>
        </w:tc>
        <w:tc>
          <w:tcPr>
            <w:tcW w:w="99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345" w:type="dxa"/>
            <w:tcBorders>
              <w:top w:val="nil"/>
              <w:left w:val="single" w:sz="4" w:space="0" w:color="auto"/>
              <w:bottom w:val="single" w:sz="4" w:space="0" w:color="auto"/>
              <w:right w:val="single" w:sz="12" w:space="0" w:color="auto"/>
            </w:tcBorders>
            <w:shd w:val="clear" w:color="auto" w:fill="auto"/>
            <w:noWrap/>
            <w:tcMar>
              <w:left w:w="43" w:type="dxa"/>
              <w:right w:w="43" w:type="dxa"/>
            </w:tcMar>
            <w:vAlign w:val="center"/>
          </w:tcPr>
          <w:p w:rsidR="00241337" w:rsidRPr="009B4D64" w:rsidRDefault="00241337" w:rsidP="00241337">
            <w:pPr>
              <w:jc w:val="right"/>
              <w:rPr>
                <w:rFonts w:ascii="Calibri" w:hAnsi="Calibri"/>
                <w:b/>
                <w:szCs w:val="20"/>
              </w:rPr>
            </w:pPr>
            <w:r>
              <w:rPr>
                <w:rFonts w:ascii="Calibri" w:hAnsi="Calibri"/>
                <w:b/>
                <w:szCs w:val="20"/>
              </w:rPr>
              <w:t>2014-2040</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Safety</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245</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631</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625</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626</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1,252</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3,378</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Resurfacing</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1,211</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3,593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3,649</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3,900</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8,071</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20,425</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Bridge</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529</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1,593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1,373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1,452</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3,044</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7,991</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Product Support</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2,527</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4,913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5,932</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6,479</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14,239</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34,089</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Operations and Maintenance</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2,033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5,228</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5,607</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6,295</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14,470</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33,633</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9B4D64" w:rsidRDefault="00241337" w:rsidP="009B4D64">
            <w:pPr>
              <w:tabs>
                <w:tab w:val="left" w:pos="-1080"/>
                <w:tab w:val="left" w:pos="-720"/>
                <w:tab w:val="left" w:pos="0"/>
                <w:tab w:val="left" w:pos="360"/>
              </w:tabs>
              <w:rPr>
                <w:rFonts w:ascii="Calibri" w:hAnsi="Calibri"/>
              </w:rPr>
            </w:pPr>
            <w:r w:rsidRPr="009B4D64">
              <w:rPr>
                <w:rFonts w:ascii="Calibri" w:hAnsi="Calibri"/>
              </w:rPr>
              <w:t>Administration</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299</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855</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1,037</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1,153</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2,672</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6,016</w:t>
            </w:r>
          </w:p>
        </w:tc>
      </w:tr>
      <w:tr w:rsidR="00241337" w:rsidRPr="007409B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7409B4" w:rsidRDefault="00241337" w:rsidP="006E63F5">
            <w:pPr>
              <w:rPr>
                <w:rFonts w:ascii="Calibri" w:hAnsi="Calibri"/>
                <w:b/>
                <w:bCs/>
                <w:szCs w:val="20"/>
              </w:rPr>
            </w:pPr>
            <w:r w:rsidRPr="007409B4">
              <w:rPr>
                <w:rFonts w:ascii="Calibri" w:hAnsi="Calibri"/>
                <w:b/>
                <w:bCs/>
                <w:szCs w:val="20"/>
              </w:rPr>
              <w:t>Total Non-Capacity Programs</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b/>
                <w:szCs w:val="20"/>
              </w:rPr>
            </w:pPr>
            <w:r w:rsidRPr="00241337">
              <w:rPr>
                <w:rFonts w:ascii="Calibri" w:hAnsi="Calibri" w:cs="Calibri"/>
                <w:b/>
                <w:szCs w:val="20"/>
              </w:rPr>
              <w:t>6,844</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16,813</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18,224</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19,904</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43,748</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105,532</w:t>
            </w:r>
          </w:p>
        </w:tc>
      </w:tr>
      <w:tr w:rsidR="00241337" w:rsidRPr="009B4D64" w:rsidTr="00241337">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241337" w:rsidRPr="00241337" w:rsidRDefault="00241337" w:rsidP="009B4D64">
            <w:pPr>
              <w:tabs>
                <w:tab w:val="left" w:pos="-1080"/>
                <w:tab w:val="left" w:pos="-720"/>
                <w:tab w:val="left" w:pos="0"/>
                <w:tab w:val="left" w:pos="360"/>
              </w:tabs>
              <w:rPr>
                <w:rFonts w:ascii="Calibri" w:hAnsi="Calibri"/>
              </w:rPr>
            </w:pPr>
            <w:r w:rsidRPr="00241337">
              <w:rPr>
                <w:rFonts w:ascii="Calibri" w:hAnsi="Calibri"/>
              </w:rPr>
              <w:t>Other</w:t>
            </w:r>
            <w:r w:rsidRPr="00241337">
              <w:rPr>
                <w:rFonts w:ascii="Calibri" w:hAnsi="Calibri"/>
                <w:bCs/>
                <w:vertAlign w:val="superscript"/>
              </w:rPr>
              <w:t>3</w:t>
            </w:r>
          </w:p>
        </w:tc>
        <w:tc>
          <w:tcPr>
            <w:tcW w:w="1037" w:type="dxa"/>
            <w:tcBorders>
              <w:top w:val="single" w:sz="4" w:space="0" w:color="auto"/>
              <w:left w:val="nil"/>
              <w:bottom w:val="single" w:sz="4" w:space="0" w:color="auto"/>
              <w:right w:val="single" w:sz="4" w:space="0" w:color="auto"/>
            </w:tcBorders>
            <w:vAlign w:val="bottom"/>
          </w:tcPr>
          <w:p w:rsidR="00241337" w:rsidRPr="00241337" w:rsidRDefault="00241337">
            <w:pPr>
              <w:jc w:val="right"/>
              <w:rPr>
                <w:rFonts w:ascii="Calibri" w:hAnsi="Calibri" w:cs="Calibri"/>
                <w:szCs w:val="20"/>
              </w:rPr>
            </w:pPr>
            <w:r w:rsidRPr="00241337">
              <w:rPr>
                <w:rFonts w:ascii="Calibri" w:hAnsi="Calibri" w:cs="Calibri"/>
                <w:szCs w:val="20"/>
              </w:rPr>
              <w:t>364</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1,111</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1,330</w:t>
            </w:r>
          </w:p>
        </w:tc>
        <w:tc>
          <w:tcPr>
            <w:tcW w:w="990"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1,474</w:t>
            </w:r>
          </w:p>
        </w:tc>
        <w:tc>
          <w:tcPr>
            <w:tcW w:w="995" w:type="dxa"/>
            <w:tcBorders>
              <w:top w:val="nil"/>
              <w:left w:val="nil"/>
              <w:bottom w:val="single" w:sz="4" w:space="0" w:color="auto"/>
              <w:right w:val="single" w:sz="4"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3,252</w:t>
            </w:r>
          </w:p>
        </w:tc>
        <w:tc>
          <w:tcPr>
            <w:tcW w:w="1345" w:type="dxa"/>
            <w:tcBorders>
              <w:top w:val="nil"/>
              <w:left w:val="single" w:sz="4" w:space="0" w:color="auto"/>
              <w:bottom w:val="single" w:sz="4" w:space="0" w:color="auto"/>
              <w:right w:val="single" w:sz="12" w:space="0" w:color="auto"/>
            </w:tcBorders>
            <w:shd w:val="clear" w:color="auto" w:fill="auto"/>
            <w:noWrap/>
            <w:vAlign w:val="bottom"/>
          </w:tcPr>
          <w:p w:rsidR="00241337" w:rsidRPr="00241337" w:rsidRDefault="00241337">
            <w:pPr>
              <w:jc w:val="right"/>
              <w:rPr>
                <w:rFonts w:ascii="Calibri" w:hAnsi="Calibri" w:cs="Calibri"/>
                <w:szCs w:val="20"/>
              </w:rPr>
            </w:pPr>
            <w:r w:rsidRPr="00241337">
              <w:rPr>
                <w:rFonts w:ascii="Calibri" w:hAnsi="Calibri" w:cs="Calibri"/>
                <w:szCs w:val="20"/>
              </w:rPr>
              <w:t>7,531</w:t>
            </w:r>
          </w:p>
        </w:tc>
      </w:tr>
      <w:tr w:rsidR="00241337" w:rsidRPr="009B4D64" w:rsidTr="00241337">
        <w:trPr>
          <w:trHeight w:val="330"/>
          <w:jc w:val="center"/>
        </w:trPr>
        <w:tc>
          <w:tcPr>
            <w:tcW w:w="3468" w:type="dxa"/>
            <w:tcBorders>
              <w:top w:val="nil"/>
              <w:left w:val="single" w:sz="12" w:space="0" w:color="auto"/>
              <w:bottom w:val="single" w:sz="12" w:space="0" w:color="auto"/>
              <w:right w:val="single" w:sz="4" w:space="0" w:color="auto"/>
            </w:tcBorders>
            <w:shd w:val="clear" w:color="auto" w:fill="auto"/>
            <w:noWrap/>
            <w:vAlign w:val="bottom"/>
          </w:tcPr>
          <w:p w:rsidR="00241337" w:rsidRPr="009B4D64" w:rsidRDefault="00241337" w:rsidP="006E63F5">
            <w:pPr>
              <w:rPr>
                <w:rFonts w:ascii="Calibri" w:hAnsi="Calibri"/>
                <w:b/>
                <w:bCs/>
                <w:szCs w:val="20"/>
              </w:rPr>
            </w:pPr>
            <w:r w:rsidRPr="009B4D64">
              <w:rPr>
                <w:rFonts w:ascii="Calibri" w:hAnsi="Calibri"/>
                <w:b/>
                <w:bCs/>
                <w:szCs w:val="20"/>
              </w:rPr>
              <w:t>Statewide Total Forecast</w:t>
            </w:r>
          </w:p>
        </w:tc>
        <w:tc>
          <w:tcPr>
            <w:tcW w:w="1037" w:type="dxa"/>
            <w:tcBorders>
              <w:top w:val="single" w:sz="4" w:space="0" w:color="auto"/>
              <w:left w:val="nil"/>
              <w:bottom w:val="single" w:sz="12" w:space="0" w:color="auto"/>
              <w:right w:val="single" w:sz="4" w:space="0" w:color="auto"/>
            </w:tcBorders>
            <w:vAlign w:val="bottom"/>
          </w:tcPr>
          <w:p w:rsidR="00241337" w:rsidRPr="00241337" w:rsidRDefault="00241337">
            <w:pPr>
              <w:jc w:val="right"/>
              <w:rPr>
                <w:rFonts w:ascii="Calibri" w:hAnsi="Calibri" w:cs="Calibri"/>
                <w:b/>
                <w:szCs w:val="20"/>
              </w:rPr>
            </w:pPr>
            <w:r w:rsidRPr="00241337">
              <w:rPr>
                <w:rFonts w:ascii="Calibri" w:hAnsi="Calibri" w:cs="Calibri"/>
                <w:b/>
                <w:szCs w:val="20"/>
              </w:rPr>
              <w:t>16,505</w:t>
            </w:r>
          </w:p>
        </w:tc>
        <w:tc>
          <w:tcPr>
            <w:tcW w:w="990" w:type="dxa"/>
            <w:tcBorders>
              <w:top w:val="nil"/>
              <w:left w:val="nil"/>
              <w:bottom w:val="single" w:sz="12"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34,829</w:t>
            </w:r>
          </w:p>
        </w:tc>
        <w:tc>
          <w:tcPr>
            <w:tcW w:w="990" w:type="dxa"/>
            <w:tcBorders>
              <w:top w:val="nil"/>
              <w:left w:val="nil"/>
              <w:bottom w:val="single" w:sz="12"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37,516</w:t>
            </w:r>
          </w:p>
        </w:tc>
        <w:tc>
          <w:tcPr>
            <w:tcW w:w="990" w:type="dxa"/>
            <w:tcBorders>
              <w:top w:val="nil"/>
              <w:left w:val="nil"/>
              <w:bottom w:val="single" w:sz="12"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40,266</w:t>
            </w:r>
          </w:p>
        </w:tc>
        <w:tc>
          <w:tcPr>
            <w:tcW w:w="995" w:type="dxa"/>
            <w:tcBorders>
              <w:top w:val="nil"/>
              <w:left w:val="nil"/>
              <w:bottom w:val="single" w:sz="12" w:space="0" w:color="auto"/>
              <w:right w:val="single" w:sz="4"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86,715</w:t>
            </w:r>
          </w:p>
        </w:tc>
        <w:tc>
          <w:tcPr>
            <w:tcW w:w="1345" w:type="dxa"/>
            <w:tcBorders>
              <w:top w:val="nil"/>
              <w:left w:val="single" w:sz="4" w:space="0" w:color="auto"/>
              <w:bottom w:val="single" w:sz="12" w:space="0" w:color="auto"/>
              <w:right w:val="single" w:sz="12" w:space="0" w:color="auto"/>
            </w:tcBorders>
            <w:shd w:val="clear" w:color="auto" w:fill="auto"/>
            <w:noWrap/>
            <w:vAlign w:val="bottom"/>
          </w:tcPr>
          <w:p w:rsidR="00241337" w:rsidRPr="00241337" w:rsidRDefault="00241337">
            <w:pPr>
              <w:jc w:val="right"/>
              <w:rPr>
                <w:rFonts w:ascii="Calibri" w:hAnsi="Calibri" w:cs="Calibri"/>
                <w:b/>
                <w:szCs w:val="20"/>
              </w:rPr>
            </w:pPr>
            <w:r w:rsidRPr="00241337">
              <w:rPr>
                <w:rFonts w:ascii="Calibri" w:hAnsi="Calibri" w:cs="Calibri"/>
                <w:b/>
                <w:szCs w:val="20"/>
              </w:rPr>
              <w:t>215,830</w:t>
            </w:r>
          </w:p>
        </w:tc>
      </w:tr>
    </w:tbl>
    <w:p w:rsidR="00150776" w:rsidRPr="009B4D64" w:rsidRDefault="00150776" w:rsidP="00150776">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Based on the FDOT </w:t>
      </w:r>
      <w:r w:rsidR="0053123F">
        <w:rPr>
          <w:rFonts w:ascii="Calibri" w:hAnsi="Calibri"/>
          <w:szCs w:val="20"/>
        </w:rPr>
        <w:t>Adopted Work Program for 2014 through 2018</w:t>
      </w:r>
      <w:r w:rsidRPr="009B4D64">
        <w:rPr>
          <w:rFonts w:ascii="Calibri" w:hAnsi="Calibri"/>
          <w:szCs w:val="20"/>
        </w:rPr>
        <w:t>.</w:t>
      </w:r>
    </w:p>
    <w:p w:rsidR="00150776" w:rsidRPr="009B4D64" w:rsidRDefault="00150776" w:rsidP="00150776">
      <w:pPr>
        <w:tabs>
          <w:tab w:val="left" w:pos="-1080"/>
          <w:tab w:val="left" w:pos="-720"/>
          <w:tab w:val="left" w:pos="0"/>
          <w:tab w:val="left" w:pos="360"/>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Columns and rows sometimes do not equal the totals due to rounding. </w:t>
      </w:r>
    </w:p>
    <w:p w:rsidR="00150776" w:rsidRPr="009B4D64" w:rsidRDefault="00150776" w:rsidP="00150776">
      <w:pPr>
        <w:tabs>
          <w:tab w:val="left" w:pos="-1080"/>
          <w:tab w:val="left" w:pos="-720"/>
          <w:tab w:val="left" w:pos="0"/>
          <w:tab w:val="left" w:pos="360"/>
        </w:tabs>
        <w:rPr>
          <w:szCs w:val="20"/>
        </w:rPr>
      </w:pPr>
      <w:r w:rsidRPr="009B4D64">
        <w:rPr>
          <w:rFonts w:ascii="Calibri" w:hAnsi="Calibri"/>
          <w:szCs w:val="20"/>
          <w:vertAlign w:val="superscript"/>
        </w:rPr>
        <w:t>3</w:t>
      </w:r>
      <w:r w:rsidRPr="009B4D64">
        <w:rPr>
          <w:rFonts w:ascii="Calibri" w:hAnsi="Calibri"/>
          <w:szCs w:val="20"/>
        </w:rPr>
        <w:t xml:space="preserve"> “Other” is primarily for debt service.  </w:t>
      </w:r>
    </w:p>
    <w:p w:rsidR="006E63F5" w:rsidRDefault="006E63F5" w:rsidP="00000D03">
      <w:pPr>
        <w:rPr>
          <w:rFonts w:ascii="Calibri" w:hAnsi="Calibri"/>
          <w:sz w:val="24"/>
        </w:rPr>
      </w:pPr>
    </w:p>
    <w:p w:rsidR="008252C7" w:rsidRPr="009B4D64" w:rsidRDefault="008252C7" w:rsidP="008252C7">
      <w:pPr>
        <w:jc w:val="center"/>
        <w:rPr>
          <w:rFonts w:ascii="Calibri" w:hAnsi="Calibri"/>
          <w:b/>
          <w:sz w:val="24"/>
        </w:rPr>
      </w:pPr>
      <w:r w:rsidRPr="009B4D64">
        <w:rPr>
          <w:rFonts w:ascii="Calibri" w:hAnsi="Calibri"/>
          <w:b/>
          <w:sz w:val="24"/>
        </w:rPr>
        <w:t xml:space="preserve">Table </w:t>
      </w:r>
      <w:r>
        <w:rPr>
          <w:rFonts w:ascii="Calibri" w:hAnsi="Calibri"/>
          <w:b/>
          <w:sz w:val="24"/>
        </w:rPr>
        <w:t>10</w:t>
      </w:r>
    </w:p>
    <w:p w:rsidR="008252C7" w:rsidRPr="009B4D64" w:rsidRDefault="006A53EF" w:rsidP="008252C7">
      <w:pPr>
        <w:jc w:val="center"/>
        <w:rPr>
          <w:rFonts w:ascii="Calibri" w:hAnsi="Calibri"/>
          <w:b/>
          <w:sz w:val="24"/>
        </w:rPr>
      </w:pPr>
      <w:r>
        <w:rPr>
          <w:rFonts w:ascii="Calibri" w:hAnsi="Calibri"/>
          <w:b/>
          <w:sz w:val="24"/>
        </w:rPr>
        <w:t xml:space="preserve">State Highway System </w:t>
      </w:r>
      <w:r w:rsidR="008252C7">
        <w:rPr>
          <w:rFonts w:ascii="Calibri" w:hAnsi="Calibri"/>
          <w:b/>
          <w:sz w:val="24"/>
        </w:rPr>
        <w:t>Operations and Maintenance</w:t>
      </w:r>
      <w:r w:rsidR="008252C7" w:rsidRPr="009B4D64">
        <w:rPr>
          <w:rFonts w:ascii="Calibri" w:hAnsi="Calibri"/>
          <w:b/>
          <w:sz w:val="24"/>
        </w:rPr>
        <w:t xml:space="preserve"> Estimates</w:t>
      </w:r>
    </w:p>
    <w:p w:rsidR="008252C7" w:rsidRPr="009B4D64" w:rsidRDefault="008252C7" w:rsidP="008252C7">
      <w:pPr>
        <w:jc w:val="center"/>
        <w:rPr>
          <w:rFonts w:ascii="Calibri" w:hAnsi="Calibri"/>
          <w:b/>
          <w:sz w:val="24"/>
        </w:rPr>
      </w:pPr>
      <w:r>
        <w:rPr>
          <w:rFonts w:ascii="Calibri" w:hAnsi="Calibri"/>
          <w:b/>
          <w:sz w:val="24"/>
        </w:rPr>
        <w:t xml:space="preserve">State </w:t>
      </w:r>
      <w:r w:rsidR="006A53EF">
        <w:rPr>
          <w:rFonts w:ascii="Calibri" w:hAnsi="Calibri"/>
          <w:b/>
          <w:sz w:val="24"/>
        </w:rPr>
        <w:t xml:space="preserve">and Federal </w:t>
      </w:r>
      <w:r>
        <w:rPr>
          <w:rFonts w:ascii="Calibri" w:hAnsi="Calibri"/>
          <w:b/>
          <w:sz w:val="24"/>
        </w:rPr>
        <w:t>Funds from the 2040</w:t>
      </w:r>
      <w:r w:rsidRPr="009B4D64">
        <w:rPr>
          <w:rFonts w:ascii="Calibri" w:hAnsi="Calibri"/>
          <w:b/>
          <w:sz w:val="24"/>
        </w:rPr>
        <w:t xml:space="preserve"> Revenue Forecast (Millions of Dollars)</w:t>
      </w:r>
    </w:p>
    <w:p w:rsidR="008252C7" w:rsidRDefault="008252C7" w:rsidP="008252C7">
      <w:pPr>
        <w:rPr>
          <w:rFonts w:ascii="Calibri" w:hAnsi="Calibri"/>
          <w:sz w:val="24"/>
        </w:rPr>
      </w:pPr>
    </w:p>
    <w:tbl>
      <w:tblPr>
        <w:tblW w:w="9768" w:type="dxa"/>
        <w:jc w:val="center"/>
        <w:tblLook w:val="0000" w:firstRow="0" w:lastRow="0" w:firstColumn="0" w:lastColumn="0" w:noHBand="0" w:noVBand="0"/>
      </w:tblPr>
      <w:tblGrid>
        <w:gridCol w:w="3468"/>
        <w:gridCol w:w="1037"/>
        <w:gridCol w:w="990"/>
        <w:gridCol w:w="990"/>
        <w:gridCol w:w="990"/>
        <w:gridCol w:w="995"/>
        <w:gridCol w:w="1298"/>
      </w:tblGrid>
      <w:tr w:rsidR="00241337" w:rsidRPr="009B4D64" w:rsidTr="00BC6A12">
        <w:trPr>
          <w:trHeight w:val="420"/>
          <w:jc w:val="center"/>
        </w:trPr>
        <w:tc>
          <w:tcPr>
            <w:tcW w:w="3468"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241337" w:rsidRPr="009B4D64" w:rsidRDefault="00241337" w:rsidP="00241337">
            <w:pPr>
              <w:rPr>
                <w:rFonts w:ascii="Calibri" w:hAnsi="Calibri"/>
                <w:b/>
                <w:bCs/>
              </w:rPr>
            </w:pPr>
            <w:r w:rsidRPr="009B4D64">
              <w:rPr>
                <w:rFonts w:ascii="Calibri" w:hAnsi="Calibri"/>
                <w:b/>
                <w:bCs/>
              </w:rPr>
              <w:t>Major Programs</w:t>
            </w:r>
          </w:p>
        </w:tc>
        <w:tc>
          <w:tcPr>
            <w:tcW w:w="5002" w:type="dxa"/>
            <w:gridSpan w:val="5"/>
            <w:tcBorders>
              <w:top w:val="single" w:sz="12" w:space="0" w:color="auto"/>
              <w:left w:val="single" w:sz="4" w:space="0" w:color="auto"/>
              <w:right w:val="single" w:sz="4" w:space="0" w:color="000000"/>
            </w:tcBorders>
            <w:tcMar>
              <w:left w:w="43" w:type="dxa"/>
              <w:right w:w="43" w:type="dxa"/>
            </w:tcMar>
            <w:vAlign w:val="center"/>
          </w:tcPr>
          <w:p w:rsidR="00241337" w:rsidRPr="009B4D64" w:rsidRDefault="00241337" w:rsidP="00241337">
            <w:pPr>
              <w:jc w:val="center"/>
              <w:rPr>
                <w:rFonts w:ascii="Calibri" w:hAnsi="Calibri"/>
                <w:b/>
                <w:bCs/>
              </w:rPr>
            </w:pPr>
            <w:r w:rsidRPr="009B4D64">
              <w:rPr>
                <w:rFonts w:ascii="Calibri" w:hAnsi="Calibri"/>
                <w:b/>
                <w:bCs/>
              </w:rPr>
              <w:t>5-Year Period (Fiscal Years)</w:t>
            </w:r>
          </w:p>
        </w:tc>
        <w:tc>
          <w:tcPr>
            <w:tcW w:w="1298" w:type="dxa"/>
            <w:tcBorders>
              <w:top w:val="single" w:sz="12" w:space="0" w:color="auto"/>
              <w:left w:val="single" w:sz="4" w:space="0" w:color="auto"/>
              <w:bottom w:val="single" w:sz="4" w:space="0" w:color="000000"/>
              <w:right w:val="single" w:sz="12" w:space="0" w:color="auto"/>
            </w:tcBorders>
            <w:shd w:val="clear" w:color="auto" w:fill="auto"/>
            <w:tcMar>
              <w:left w:w="43" w:type="dxa"/>
              <w:right w:w="43" w:type="dxa"/>
            </w:tcMar>
            <w:vAlign w:val="center"/>
          </w:tcPr>
          <w:p w:rsidR="00241337" w:rsidRPr="00241337" w:rsidRDefault="00241337" w:rsidP="00241337">
            <w:pPr>
              <w:tabs>
                <w:tab w:val="left" w:pos="-1080"/>
                <w:tab w:val="left" w:pos="-720"/>
                <w:tab w:val="left" w:pos="0"/>
                <w:tab w:val="left" w:pos="360"/>
              </w:tabs>
              <w:jc w:val="center"/>
              <w:rPr>
                <w:rFonts w:ascii="Calibri" w:hAnsi="Calibri"/>
                <w:b/>
                <w:bCs/>
                <w:szCs w:val="20"/>
              </w:rPr>
            </w:pPr>
            <w:r w:rsidRPr="00241337">
              <w:rPr>
                <w:rFonts w:ascii="Calibri" w:hAnsi="Calibri"/>
                <w:b/>
                <w:bCs/>
                <w:szCs w:val="20"/>
              </w:rPr>
              <w:t>27-Year Total</w:t>
            </w:r>
            <w:r w:rsidRPr="00241337">
              <w:rPr>
                <w:rFonts w:ascii="Calibri" w:hAnsi="Calibri"/>
                <w:szCs w:val="20"/>
                <w:vertAlign w:val="superscript"/>
              </w:rPr>
              <w:t>2</w:t>
            </w:r>
          </w:p>
        </w:tc>
      </w:tr>
      <w:tr w:rsidR="00241337" w:rsidRPr="009B4D64" w:rsidTr="00BC6A12">
        <w:trPr>
          <w:trHeight w:val="315"/>
          <w:jc w:val="center"/>
        </w:trPr>
        <w:tc>
          <w:tcPr>
            <w:tcW w:w="3468" w:type="dxa"/>
            <w:vMerge/>
            <w:tcBorders>
              <w:top w:val="single" w:sz="12" w:space="0" w:color="auto"/>
              <w:left w:val="single" w:sz="12" w:space="0" w:color="auto"/>
              <w:bottom w:val="single" w:sz="4" w:space="0" w:color="000000"/>
              <w:right w:val="single" w:sz="4" w:space="0" w:color="auto"/>
            </w:tcBorders>
            <w:vAlign w:val="center"/>
          </w:tcPr>
          <w:p w:rsidR="00241337" w:rsidRPr="009B4D64" w:rsidRDefault="00241337" w:rsidP="00241337">
            <w:pPr>
              <w:rPr>
                <w:rFonts w:ascii="Calibri" w:hAnsi="Calibri"/>
                <w:b/>
                <w:bCs/>
                <w:szCs w:val="20"/>
              </w:rPr>
            </w:pPr>
          </w:p>
        </w:tc>
        <w:tc>
          <w:tcPr>
            <w:tcW w:w="1037" w:type="dxa"/>
            <w:tcBorders>
              <w:top w:val="single" w:sz="4" w:space="0" w:color="000000"/>
              <w:left w:val="nil"/>
              <w:bottom w:val="single" w:sz="4" w:space="0" w:color="auto"/>
              <w:right w:val="single" w:sz="4" w:space="0" w:color="auto"/>
            </w:tcBorders>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20014</w:t>
            </w:r>
            <w:r w:rsidRPr="009B4D64">
              <w:rPr>
                <w:rFonts w:ascii="Calibri" w:hAnsi="Calibri"/>
                <w:b/>
                <w:bCs/>
                <w:szCs w:val="20"/>
              </w:rPr>
              <w:t>-1</w:t>
            </w:r>
            <w:r>
              <w:rPr>
                <w:rFonts w:ascii="Calibri" w:hAnsi="Calibri"/>
                <w:b/>
                <w:bCs/>
                <w:szCs w:val="20"/>
              </w:rPr>
              <w:t>5</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sidRPr="009B4D64">
              <w:rPr>
                <w:rFonts w:ascii="Calibri" w:hAnsi="Calibri"/>
                <w:b/>
                <w:bCs/>
                <w:szCs w:val="20"/>
              </w:rPr>
              <w:t>2016-20</w:t>
            </w:r>
            <w:r w:rsidRPr="009B4D64">
              <w:rPr>
                <w:rFonts w:ascii="Calibri" w:hAnsi="Calibri"/>
                <w:b/>
                <w:bCs/>
                <w:szCs w:val="20"/>
                <w:vertAlign w:val="superscript"/>
              </w:rPr>
              <w:t>1</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sidRPr="009B4D64">
              <w:rPr>
                <w:rFonts w:ascii="Calibri" w:hAnsi="Calibri"/>
                <w:b/>
                <w:bCs/>
                <w:szCs w:val="20"/>
              </w:rPr>
              <w:t>2021-25</w:t>
            </w:r>
          </w:p>
        </w:tc>
        <w:tc>
          <w:tcPr>
            <w:tcW w:w="99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2026</w:t>
            </w:r>
            <w:r w:rsidRPr="009B4D64">
              <w:rPr>
                <w:rFonts w:ascii="Calibri" w:hAnsi="Calibri"/>
                <w:b/>
                <w:bCs/>
                <w:szCs w:val="20"/>
              </w:rPr>
              <w:t>-30</w:t>
            </w:r>
          </w:p>
        </w:tc>
        <w:tc>
          <w:tcPr>
            <w:tcW w:w="99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241337" w:rsidRPr="009B4D64" w:rsidRDefault="00241337" w:rsidP="00241337">
            <w:pPr>
              <w:tabs>
                <w:tab w:val="left" w:pos="-1080"/>
                <w:tab w:val="left" w:pos="-720"/>
                <w:tab w:val="left" w:pos="0"/>
                <w:tab w:val="left" w:pos="360"/>
              </w:tabs>
              <w:jc w:val="right"/>
              <w:rPr>
                <w:rFonts w:ascii="Calibri" w:hAnsi="Calibri"/>
                <w:b/>
                <w:bCs/>
                <w:szCs w:val="20"/>
              </w:rPr>
            </w:pPr>
            <w:r>
              <w:rPr>
                <w:rFonts w:ascii="Calibri" w:hAnsi="Calibri"/>
                <w:b/>
                <w:bCs/>
                <w:szCs w:val="20"/>
              </w:rPr>
              <w:t>2031-40</w:t>
            </w:r>
          </w:p>
        </w:tc>
        <w:tc>
          <w:tcPr>
            <w:tcW w:w="1298" w:type="dxa"/>
            <w:tcBorders>
              <w:top w:val="nil"/>
              <w:left w:val="single" w:sz="4" w:space="0" w:color="auto"/>
              <w:bottom w:val="single" w:sz="4" w:space="0" w:color="auto"/>
              <w:right w:val="single" w:sz="12" w:space="0" w:color="auto"/>
            </w:tcBorders>
            <w:shd w:val="clear" w:color="auto" w:fill="auto"/>
            <w:noWrap/>
            <w:tcMar>
              <w:left w:w="43" w:type="dxa"/>
              <w:right w:w="43" w:type="dxa"/>
            </w:tcMar>
            <w:vAlign w:val="center"/>
          </w:tcPr>
          <w:p w:rsidR="00241337" w:rsidRPr="009B4D64" w:rsidRDefault="00241337" w:rsidP="00241337">
            <w:pPr>
              <w:jc w:val="right"/>
              <w:rPr>
                <w:rFonts w:ascii="Calibri" w:hAnsi="Calibri"/>
                <w:b/>
                <w:szCs w:val="20"/>
              </w:rPr>
            </w:pPr>
            <w:r>
              <w:rPr>
                <w:rFonts w:ascii="Calibri" w:hAnsi="Calibri"/>
                <w:b/>
                <w:szCs w:val="20"/>
              </w:rPr>
              <w:t>2014-2040</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1</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543</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499</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530</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676</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3,683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8</w:t>
            </w:r>
            <w:r>
              <w:rPr>
                <w:rFonts w:ascii="Calibri" w:hAnsi="Calibri" w:cs="Calibri"/>
                <w:szCs w:val="20"/>
              </w:rPr>
              <w:t>,</w:t>
            </w:r>
            <w:r w:rsidRPr="007409B4">
              <w:rPr>
                <w:rFonts w:ascii="Calibri" w:hAnsi="Calibri" w:cs="Calibri"/>
                <w:szCs w:val="20"/>
              </w:rPr>
              <w:t>931</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2</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718</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982</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2</w:t>
            </w:r>
            <w:r>
              <w:rPr>
                <w:rFonts w:ascii="Calibri" w:hAnsi="Calibri" w:cs="Calibri"/>
                <w:szCs w:val="20"/>
              </w:rPr>
              <w:t>,</w:t>
            </w:r>
            <w:r w:rsidRPr="007409B4">
              <w:rPr>
                <w:rFonts w:ascii="Calibri" w:hAnsi="Calibri" w:cs="Calibri"/>
                <w:szCs w:val="20"/>
              </w:rPr>
              <w:t>023</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2</w:t>
            </w:r>
            <w:r>
              <w:rPr>
                <w:rFonts w:ascii="Calibri" w:hAnsi="Calibri" w:cs="Calibri"/>
                <w:szCs w:val="20"/>
              </w:rPr>
              <w:t>,</w:t>
            </w:r>
            <w:r w:rsidRPr="007409B4">
              <w:rPr>
                <w:rFonts w:ascii="Calibri" w:hAnsi="Calibri" w:cs="Calibri"/>
                <w:szCs w:val="20"/>
              </w:rPr>
              <w:t>216</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4,869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11</w:t>
            </w:r>
            <w:r>
              <w:rPr>
                <w:rFonts w:ascii="Calibri" w:hAnsi="Calibri" w:cs="Calibri"/>
                <w:szCs w:val="20"/>
              </w:rPr>
              <w:t>,</w:t>
            </w:r>
            <w:r w:rsidRPr="007409B4">
              <w:rPr>
                <w:rFonts w:ascii="Calibri" w:hAnsi="Calibri" w:cs="Calibri"/>
                <w:szCs w:val="20"/>
              </w:rPr>
              <w:t>807</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3</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582</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607</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640</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798</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3,949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9</w:t>
            </w:r>
            <w:r>
              <w:rPr>
                <w:rFonts w:ascii="Calibri" w:hAnsi="Calibri" w:cs="Calibri"/>
                <w:szCs w:val="20"/>
              </w:rPr>
              <w:t>,</w:t>
            </w:r>
            <w:r w:rsidRPr="007409B4">
              <w:rPr>
                <w:rFonts w:ascii="Calibri" w:hAnsi="Calibri" w:cs="Calibri"/>
                <w:szCs w:val="20"/>
              </w:rPr>
              <w:t>576</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4</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556</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534</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566</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716</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3,769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9</w:t>
            </w:r>
            <w:r>
              <w:rPr>
                <w:rFonts w:ascii="Calibri" w:hAnsi="Calibri" w:cs="Calibri"/>
                <w:szCs w:val="20"/>
              </w:rPr>
              <w:t>,</w:t>
            </w:r>
            <w:r w:rsidRPr="007409B4">
              <w:rPr>
                <w:rFonts w:ascii="Calibri" w:hAnsi="Calibri" w:cs="Calibri"/>
                <w:szCs w:val="20"/>
              </w:rPr>
              <w:t>141</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5</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720</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987</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2</w:t>
            </w:r>
            <w:r>
              <w:rPr>
                <w:rFonts w:ascii="Calibri" w:hAnsi="Calibri" w:cs="Calibri"/>
                <w:szCs w:val="20"/>
              </w:rPr>
              <w:t>,</w:t>
            </w:r>
            <w:r w:rsidRPr="007409B4">
              <w:rPr>
                <w:rFonts w:ascii="Calibri" w:hAnsi="Calibri" w:cs="Calibri"/>
                <w:szCs w:val="20"/>
              </w:rPr>
              <w:t>029</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2</w:t>
            </w:r>
            <w:r>
              <w:rPr>
                <w:rFonts w:ascii="Calibri" w:hAnsi="Calibri" w:cs="Calibri"/>
                <w:szCs w:val="20"/>
              </w:rPr>
              <w:t>,</w:t>
            </w:r>
            <w:r w:rsidRPr="007409B4">
              <w:rPr>
                <w:rFonts w:ascii="Calibri" w:hAnsi="Calibri" w:cs="Calibri"/>
                <w:szCs w:val="20"/>
              </w:rPr>
              <w:t>223</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4,883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11</w:t>
            </w:r>
            <w:r>
              <w:rPr>
                <w:rFonts w:ascii="Calibri" w:hAnsi="Calibri" w:cs="Calibri"/>
                <w:szCs w:val="20"/>
              </w:rPr>
              <w:t>,</w:t>
            </w:r>
            <w:r w:rsidRPr="007409B4">
              <w:rPr>
                <w:rFonts w:ascii="Calibri" w:hAnsi="Calibri" w:cs="Calibri"/>
                <w:szCs w:val="20"/>
              </w:rPr>
              <w:t>841</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6</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263</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725</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740</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811</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1,781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4</w:t>
            </w:r>
            <w:r>
              <w:rPr>
                <w:rFonts w:ascii="Calibri" w:hAnsi="Calibri" w:cs="Calibri"/>
                <w:szCs w:val="20"/>
              </w:rPr>
              <w:t>,</w:t>
            </w:r>
            <w:r w:rsidRPr="007409B4">
              <w:rPr>
                <w:rFonts w:ascii="Calibri" w:hAnsi="Calibri" w:cs="Calibri"/>
                <w:szCs w:val="20"/>
              </w:rPr>
              <w:t>318</w:t>
            </w:r>
          </w:p>
        </w:tc>
      </w:tr>
      <w:tr w:rsidR="00BC6A12" w:rsidRPr="009B4D64" w:rsidTr="00BC6A12">
        <w:trPr>
          <w:trHeight w:val="300"/>
          <w:jc w:val="center"/>
        </w:trPr>
        <w:tc>
          <w:tcPr>
            <w:tcW w:w="3468" w:type="dxa"/>
            <w:tcBorders>
              <w:top w:val="nil"/>
              <w:left w:val="single" w:sz="12" w:space="0" w:color="auto"/>
              <w:bottom w:val="single" w:sz="4" w:space="0" w:color="auto"/>
              <w:right w:val="single" w:sz="4" w:space="0" w:color="auto"/>
            </w:tcBorders>
            <w:shd w:val="clear" w:color="auto" w:fill="auto"/>
            <w:noWrap/>
            <w:vAlign w:val="bottom"/>
          </w:tcPr>
          <w:p w:rsidR="00BC6A12" w:rsidRPr="009B4D64" w:rsidRDefault="00BC6A12" w:rsidP="00241337">
            <w:pPr>
              <w:tabs>
                <w:tab w:val="left" w:pos="-1080"/>
                <w:tab w:val="left" w:pos="-720"/>
                <w:tab w:val="left" w:pos="0"/>
                <w:tab w:val="left" w:pos="360"/>
              </w:tabs>
              <w:rPr>
                <w:rFonts w:ascii="Calibri" w:hAnsi="Calibri"/>
              </w:rPr>
            </w:pPr>
            <w:r>
              <w:rPr>
                <w:rFonts w:ascii="Calibri" w:hAnsi="Calibri"/>
              </w:rPr>
              <w:t>District 7</w:t>
            </w:r>
          </w:p>
        </w:tc>
        <w:tc>
          <w:tcPr>
            <w:tcW w:w="1037" w:type="dxa"/>
            <w:tcBorders>
              <w:top w:val="single" w:sz="4" w:space="0" w:color="auto"/>
              <w:left w:val="nil"/>
              <w:bottom w:val="single" w:sz="4" w:space="0" w:color="auto"/>
              <w:right w:val="single" w:sz="4" w:space="0" w:color="auto"/>
            </w:tcBorders>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391</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080</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102</w:t>
            </w:r>
          </w:p>
        </w:tc>
        <w:tc>
          <w:tcPr>
            <w:tcW w:w="990" w:type="dxa"/>
            <w:tcBorders>
              <w:top w:val="nil"/>
              <w:left w:val="nil"/>
              <w:bottom w:val="single" w:sz="4" w:space="0" w:color="auto"/>
              <w:right w:val="single" w:sz="4" w:space="0" w:color="auto"/>
            </w:tcBorders>
            <w:shd w:val="clear" w:color="auto" w:fill="auto"/>
            <w:noWrap/>
            <w:vAlign w:val="bottom"/>
          </w:tcPr>
          <w:p w:rsidR="00BC6A12" w:rsidRPr="007409B4" w:rsidRDefault="00BC6A12" w:rsidP="00241337">
            <w:pPr>
              <w:jc w:val="right"/>
              <w:rPr>
                <w:rFonts w:ascii="Calibri" w:hAnsi="Calibri" w:cs="Calibri"/>
                <w:szCs w:val="20"/>
              </w:rPr>
            </w:pPr>
            <w:r w:rsidRPr="007409B4">
              <w:rPr>
                <w:rFonts w:ascii="Calibri" w:hAnsi="Calibri" w:cs="Calibri"/>
                <w:szCs w:val="20"/>
              </w:rPr>
              <w:t>1</w:t>
            </w:r>
            <w:r>
              <w:rPr>
                <w:rFonts w:ascii="Calibri" w:hAnsi="Calibri" w:cs="Calibri"/>
                <w:szCs w:val="20"/>
              </w:rPr>
              <w:t>,</w:t>
            </w:r>
            <w:r w:rsidRPr="007409B4">
              <w:rPr>
                <w:rFonts w:ascii="Calibri" w:hAnsi="Calibri" w:cs="Calibri"/>
                <w:szCs w:val="20"/>
              </w:rPr>
              <w:t>208</w:t>
            </w:r>
          </w:p>
        </w:tc>
        <w:tc>
          <w:tcPr>
            <w:tcW w:w="995" w:type="dxa"/>
            <w:tcBorders>
              <w:top w:val="nil"/>
              <w:left w:val="nil"/>
              <w:bottom w:val="single" w:sz="4" w:space="0" w:color="auto"/>
              <w:right w:val="single" w:sz="4" w:space="0" w:color="auto"/>
            </w:tcBorders>
            <w:shd w:val="clear" w:color="auto" w:fill="auto"/>
            <w:noWrap/>
            <w:vAlign w:val="bottom"/>
          </w:tcPr>
          <w:p w:rsidR="00BC6A12" w:rsidRPr="00BC6A12" w:rsidRDefault="00BC6A12">
            <w:pPr>
              <w:rPr>
                <w:rFonts w:ascii="Calibri" w:hAnsi="Calibri" w:cs="Calibri"/>
                <w:szCs w:val="20"/>
              </w:rPr>
            </w:pPr>
            <w:r w:rsidRPr="00BC6A12">
              <w:rPr>
                <w:rFonts w:ascii="Calibri" w:hAnsi="Calibri" w:cs="Calibri"/>
                <w:szCs w:val="20"/>
              </w:rPr>
              <w:t xml:space="preserve">       2,653 </w:t>
            </w:r>
          </w:p>
        </w:tc>
        <w:tc>
          <w:tcPr>
            <w:tcW w:w="1298" w:type="dxa"/>
            <w:tcBorders>
              <w:top w:val="nil"/>
              <w:left w:val="single" w:sz="4" w:space="0" w:color="auto"/>
              <w:bottom w:val="single" w:sz="4" w:space="0" w:color="auto"/>
              <w:right w:val="single" w:sz="12" w:space="0" w:color="auto"/>
            </w:tcBorders>
            <w:shd w:val="clear" w:color="auto" w:fill="auto"/>
            <w:noWrap/>
            <w:vAlign w:val="bottom"/>
          </w:tcPr>
          <w:p w:rsidR="00BC6A12" w:rsidRPr="007409B4" w:rsidRDefault="00BC6A12" w:rsidP="00864191">
            <w:pPr>
              <w:jc w:val="right"/>
              <w:rPr>
                <w:rFonts w:ascii="Calibri" w:hAnsi="Calibri" w:cs="Calibri"/>
                <w:szCs w:val="20"/>
              </w:rPr>
            </w:pPr>
            <w:r w:rsidRPr="007409B4">
              <w:rPr>
                <w:rFonts w:ascii="Calibri" w:hAnsi="Calibri" w:cs="Calibri"/>
                <w:szCs w:val="20"/>
              </w:rPr>
              <w:t>6</w:t>
            </w:r>
            <w:r>
              <w:rPr>
                <w:rFonts w:ascii="Calibri" w:hAnsi="Calibri" w:cs="Calibri"/>
                <w:szCs w:val="20"/>
              </w:rPr>
              <w:t>,</w:t>
            </w:r>
            <w:r w:rsidRPr="007409B4">
              <w:rPr>
                <w:rFonts w:ascii="Calibri" w:hAnsi="Calibri" w:cs="Calibri"/>
                <w:szCs w:val="20"/>
              </w:rPr>
              <w:t>434</w:t>
            </w:r>
          </w:p>
        </w:tc>
      </w:tr>
      <w:tr w:rsidR="00BC6A12" w:rsidRPr="009B4D64" w:rsidTr="00BC6A12">
        <w:trPr>
          <w:trHeight w:val="330"/>
          <w:jc w:val="center"/>
        </w:trPr>
        <w:tc>
          <w:tcPr>
            <w:tcW w:w="3468" w:type="dxa"/>
            <w:tcBorders>
              <w:top w:val="nil"/>
              <w:left w:val="single" w:sz="12" w:space="0" w:color="auto"/>
              <w:bottom w:val="single" w:sz="12" w:space="0" w:color="auto"/>
              <w:right w:val="single" w:sz="4" w:space="0" w:color="auto"/>
            </w:tcBorders>
            <w:shd w:val="clear" w:color="auto" w:fill="auto"/>
            <w:noWrap/>
            <w:vAlign w:val="bottom"/>
          </w:tcPr>
          <w:p w:rsidR="00BC6A12" w:rsidRPr="002D4747" w:rsidRDefault="00BC6A12" w:rsidP="00241337">
            <w:pPr>
              <w:rPr>
                <w:rFonts w:ascii="Calibri" w:hAnsi="Calibri"/>
                <w:b/>
                <w:bCs/>
                <w:szCs w:val="20"/>
              </w:rPr>
            </w:pPr>
            <w:r w:rsidRPr="002D4747">
              <w:rPr>
                <w:rFonts w:ascii="Calibri" w:hAnsi="Calibri"/>
                <w:b/>
                <w:bCs/>
                <w:szCs w:val="20"/>
              </w:rPr>
              <w:t>Statewide Total Forecast</w:t>
            </w:r>
          </w:p>
        </w:tc>
        <w:tc>
          <w:tcPr>
            <w:tcW w:w="1037" w:type="dxa"/>
            <w:tcBorders>
              <w:top w:val="single" w:sz="4" w:space="0" w:color="auto"/>
              <w:left w:val="nil"/>
              <w:bottom w:val="single" w:sz="12" w:space="0" w:color="auto"/>
              <w:right w:val="single" w:sz="4" w:space="0" w:color="auto"/>
            </w:tcBorders>
            <w:vAlign w:val="bottom"/>
          </w:tcPr>
          <w:p w:rsidR="00BC6A12" w:rsidRPr="002D4747" w:rsidRDefault="00BC6A12" w:rsidP="00241337">
            <w:pPr>
              <w:jc w:val="right"/>
              <w:rPr>
                <w:rFonts w:ascii="Calibri" w:hAnsi="Calibri" w:cs="Calibri"/>
                <w:b/>
                <w:szCs w:val="20"/>
              </w:rPr>
            </w:pPr>
            <w:r w:rsidRPr="002D4747">
              <w:rPr>
                <w:rFonts w:ascii="Calibri" w:hAnsi="Calibri" w:cs="Calibri"/>
                <w:b/>
                <w:szCs w:val="20"/>
              </w:rPr>
              <w:t>3,773</w:t>
            </w:r>
          </w:p>
        </w:tc>
        <w:tc>
          <w:tcPr>
            <w:tcW w:w="990" w:type="dxa"/>
            <w:tcBorders>
              <w:top w:val="nil"/>
              <w:left w:val="nil"/>
              <w:bottom w:val="single" w:sz="12" w:space="0" w:color="auto"/>
              <w:right w:val="single" w:sz="4" w:space="0" w:color="auto"/>
            </w:tcBorders>
            <w:shd w:val="clear" w:color="auto" w:fill="auto"/>
            <w:noWrap/>
            <w:vAlign w:val="bottom"/>
          </w:tcPr>
          <w:p w:rsidR="00BC6A12" w:rsidRPr="002D4747" w:rsidRDefault="00BC6A12" w:rsidP="00241337">
            <w:pPr>
              <w:jc w:val="right"/>
              <w:rPr>
                <w:rFonts w:ascii="Calibri" w:hAnsi="Calibri" w:cs="Calibri"/>
                <w:b/>
                <w:szCs w:val="20"/>
              </w:rPr>
            </w:pPr>
            <w:r w:rsidRPr="002D4747">
              <w:rPr>
                <w:rFonts w:ascii="Calibri" w:hAnsi="Calibri" w:cs="Calibri"/>
                <w:b/>
                <w:szCs w:val="20"/>
              </w:rPr>
              <w:t>10,414</w:t>
            </w:r>
          </w:p>
        </w:tc>
        <w:tc>
          <w:tcPr>
            <w:tcW w:w="990" w:type="dxa"/>
            <w:tcBorders>
              <w:top w:val="nil"/>
              <w:left w:val="nil"/>
              <w:bottom w:val="single" w:sz="12" w:space="0" w:color="auto"/>
              <w:right w:val="single" w:sz="4" w:space="0" w:color="auto"/>
            </w:tcBorders>
            <w:shd w:val="clear" w:color="auto" w:fill="auto"/>
            <w:noWrap/>
            <w:vAlign w:val="bottom"/>
          </w:tcPr>
          <w:p w:rsidR="00BC6A12" w:rsidRPr="002D4747" w:rsidRDefault="00BC6A12" w:rsidP="00241337">
            <w:pPr>
              <w:jc w:val="right"/>
              <w:rPr>
                <w:rFonts w:ascii="Calibri" w:hAnsi="Calibri" w:cs="Calibri"/>
                <w:b/>
                <w:szCs w:val="20"/>
              </w:rPr>
            </w:pPr>
            <w:r w:rsidRPr="002D4747">
              <w:rPr>
                <w:rFonts w:ascii="Calibri" w:hAnsi="Calibri" w:cs="Calibri"/>
                <w:b/>
                <w:szCs w:val="20"/>
              </w:rPr>
              <w:t>10,630</w:t>
            </w:r>
          </w:p>
        </w:tc>
        <w:tc>
          <w:tcPr>
            <w:tcW w:w="990" w:type="dxa"/>
            <w:tcBorders>
              <w:top w:val="nil"/>
              <w:left w:val="nil"/>
              <w:bottom w:val="single" w:sz="12" w:space="0" w:color="auto"/>
              <w:right w:val="single" w:sz="4" w:space="0" w:color="auto"/>
            </w:tcBorders>
            <w:shd w:val="clear" w:color="auto" w:fill="auto"/>
            <w:noWrap/>
            <w:vAlign w:val="bottom"/>
          </w:tcPr>
          <w:p w:rsidR="00BC6A12" w:rsidRPr="002D4747" w:rsidRDefault="00BC6A12" w:rsidP="00241337">
            <w:pPr>
              <w:jc w:val="right"/>
              <w:rPr>
                <w:rFonts w:ascii="Calibri" w:hAnsi="Calibri" w:cs="Calibri"/>
                <w:b/>
                <w:szCs w:val="20"/>
              </w:rPr>
            </w:pPr>
            <w:r w:rsidRPr="002D4747">
              <w:rPr>
                <w:rFonts w:ascii="Calibri" w:hAnsi="Calibri" w:cs="Calibri"/>
                <w:b/>
                <w:szCs w:val="20"/>
              </w:rPr>
              <w:t>11,647</w:t>
            </w:r>
          </w:p>
        </w:tc>
        <w:tc>
          <w:tcPr>
            <w:tcW w:w="995" w:type="dxa"/>
            <w:tcBorders>
              <w:top w:val="nil"/>
              <w:left w:val="nil"/>
              <w:bottom w:val="single" w:sz="12" w:space="0" w:color="auto"/>
              <w:right w:val="single" w:sz="4" w:space="0" w:color="auto"/>
            </w:tcBorders>
            <w:shd w:val="clear" w:color="auto" w:fill="auto"/>
            <w:noWrap/>
            <w:vAlign w:val="bottom"/>
          </w:tcPr>
          <w:p w:rsidR="00BC6A12" w:rsidRPr="00BC6A12" w:rsidRDefault="00BC6A12" w:rsidP="00BC6A12">
            <w:pPr>
              <w:jc w:val="right"/>
              <w:rPr>
                <w:rFonts w:ascii="Calibri" w:hAnsi="Calibri" w:cs="Calibri"/>
                <w:b/>
                <w:szCs w:val="20"/>
              </w:rPr>
            </w:pPr>
            <w:r w:rsidRPr="00BC6A12">
              <w:rPr>
                <w:rFonts w:ascii="Calibri" w:hAnsi="Calibri" w:cs="Calibri"/>
                <w:b/>
                <w:szCs w:val="20"/>
              </w:rPr>
              <w:t xml:space="preserve">      25,586 </w:t>
            </w:r>
          </w:p>
        </w:tc>
        <w:tc>
          <w:tcPr>
            <w:tcW w:w="1298" w:type="dxa"/>
            <w:tcBorders>
              <w:top w:val="nil"/>
              <w:left w:val="single" w:sz="4" w:space="0" w:color="auto"/>
              <w:bottom w:val="single" w:sz="12" w:space="0" w:color="auto"/>
              <w:right w:val="single" w:sz="12" w:space="0" w:color="auto"/>
            </w:tcBorders>
            <w:shd w:val="clear" w:color="auto" w:fill="auto"/>
            <w:noWrap/>
            <w:vAlign w:val="bottom"/>
          </w:tcPr>
          <w:p w:rsidR="00BC6A12" w:rsidRPr="002D4747" w:rsidRDefault="00BC6A12" w:rsidP="00864191">
            <w:pPr>
              <w:jc w:val="right"/>
              <w:rPr>
                <w:rFonts w:ascii="Calibri" w:hAnsi="Calibri" w:cs="Calibri"/>
                <w:b/>
                <w:szCs w:val="20"/>
              </w:rPr>
            </w:pPr>
            <w:r w:rsidRPr="002D4747">
              <w:rPr>
                <w:rFonts w:ascii="Calibri" w:hAnsi="Calibri" w:cs="Calibri"/>
                <w:b/>
                <w:szCs w:val="20"/>
              </w:rPr>
              <w:t>62,049</w:t>
            </w:r>
          </w:p>
        </w:tc>
      </w:tr>
    </w:tbl>
    <w:p w:rsidR="002D4747" w:rsidRPr="002D4747" w:rsidRDefault="002D4747" w:rsidP="002D4747">
      <w:pPr>
        <w:tabs>
          <w:tab w:val="left" w:pos="-1080"/>
          <w:tab w:val="left" w:pos="-720"/>
          <w:tab w:val="left" w:pos="0"/>
        </w:tabs>
        <w:spacing w:before="120" w:after="120"/>
        <w:rPr>
          <w:rFonts w:ascii="Calibri" w:hAnsi="Calibri"/>
          <w:szCs w:val="20"/>
        </w:rPr>
      </w:pPr>
      <w:r>
        <w:rPr>
          <w:rFonts w:ascii="Calibri" w:hAnsi="Calibri"/>
          <w:szCs w:val="20"/>
        </w:rPr>
        <w:t>Note: Includes Resurfacing, Bridge, and Operations &amp; Maintenance Programs.</w:t>
      </w:r>
    </w:p>
    <w:p w:rsidR="007409B4" w:rsidRPr="009B4D64" w:rsidRDefault="007409B4" w:rsidP="007409B4">
      <w:pPr>
        <w:tabs>
          <w:tab w:val="left" w:pos="-1080"/>
          <w:tab w:val="left" w:pos="-720"/>
          <w:tab w:val="left" w:pos="0"/>
          <w:tab w:val="left" w:pos="360"/>
        </w:tabs>
        <w:rPr>
          <w:rFonts w:ascii="Calibri" w:hAnsi="Calibri"/>
          <w:szCs w:val="20"/>
          <w:vertAlign w:val="superscript"/>
        </w:rPr>
      </w:pPr>
      <w:r w:rsidRPr="009B4D64">
        <w:rPr>
          <w:rFonts w:ascii="Calibri" w:hAnsi="Calibri"/>
          <w:szCs w:val="20"/>
          <w:vertAlign w:val="superscript"/>
        </w:rPr>
        <w:t>1</w:t>
      </w:r>
      <w:r w:rsidRPr="009B4D64">
        <w:rPr>
          <w:rFonts w:ascii="Calibri" w:hAnsi="Calibri"/>
          <w:szCs w:val="20"/>
        </w:rPr>
        <w:t xml:space="preserve"> Based on the FDOT </w:t>
      </w:r>
      <w:r>
        <w:rPr>
          <w:rFonts w:ascii="Calibri" w:hAnsi="Calibri"/>
          <w:szCs w:val="20"/>
        </w:rPr>
        <w:t>Adopted Work Program for 2014 through 2018</w:t>
      </w:r>
      <w:r w:rsidRPr="009B4D64">
        <w:rPr>
          <w:rFonts w:ascii="Calibri" w:hAnsi="Calibri"/>
          <w:szCs w:val="20"/>
        </w:rPr>
        <w:t>.</w:t>
      </w:r>
    </w:p>
    <w:p w:rsidR="008C306B" w:rsidRPr="007409B4" w:rsidRDefault="007409B4" w:rsidP="007409B4">
      <w:pPr>
        <w:tabs>
          <w:tab w:val="left" w:pos="-1080"/>
          <w:tab w:val="left" w:pos="-720"/>
          <w:tab w:val="left" w:pos="0"/>
          <w:tab w:val="left" w:pos="378"/>
        </w:tabs>
        <w:rPr>
          <w:rFonts w:ascii="Calibri" w:hAnsi="Calibri"/>
          <w:szCs w:val="20"/>
        </w:rPr>
      </w:pPr>
      <w:r w:rsidRPr="009B4D64">
        <w:rPr>
          <w:rFonts w:ascii="Calibri" w:hAnsi="Calibri"/>
          <w:szCs w:val="20"/>
          <w:vertAlign w:val="superscript"/>
        </w:rPr>
        <w:t>2</w:t>
      </w:r>
      <w:r w:rsidRPr="009B4D64">
        <w:rPr>
          <w:rFonts w:ascii="Calibri" w:hAnsi="Calibri"/>
          <w:szCs w:val="20"/>
        </w:rPr>
        <w:t xml:space="preserve"> Columns and rows sometimes do not equal the totals due to rounding. </w:t>
      </w:r>
    </w:p>
    <w:p w:rsidR="008933DA" w:rsidRDefault="008933DA" w:rsidP="008933DA">
      <w:pPr>
        <w:tabs>
          <w:tab w:val="left" w:pos="-720"/>
          <w:tab w:val="left" w:pos="0"/>
          <w:tab w:val="left" w:pos="198"/>
          <w:tab w:val="left" w:pos="378"/>
          <w:tab w:val="left" w:pos="720"/>
          <w:tab w:val="left" w:pos="1098"/>
        </w:tabs>
        <w:rPr>
          <w:sz w:val="24"/>
        </w:rPr>
      </w:pPr>
    </w:p>
    <w:p w:rsidR="008933DA" w:rsidRPr="009B4D64" w:rsidRDefault="008933DA" w:rsidP="008933DA">
      <w:pPr>
        <w:rPr>
          <w:b/>
          <w:sz w:val="24"/>
        </w:rPr>
      </w:pPr>
      <w:r w:rsidRPr="009B4D64">
        <w:rPr>
          <w:b/>
          <w:sz w:val="24"/>
        </w:rPr>
        <w:t>Other</w:t>
      </w:r>
    </w:p>
    <w:p w:rsidR="00853262" w:rsidRDefault="008933DA" w:rsidP="008933DA">
      <w:pPr>
        <w:rPr>
          <w:sz w:val="24"/>
        </w:rPr>
        <w:sectPr w:rsidR="00853262" w:rsidSect="00BC2A4C">
          <w:footerReference w:type="default" r:id="rId9"/>
          <w:pgSz w:w="12240" w:h="15840" w:code="1"/>
          <w:pgMar w:top="1440" w:right="1440" w:bottom="1152" w:left="1440" w:header="720" w:footer="720" w:gutter="0"/>
          <w:cols w:space="720"/>
          <w:docGrid w:linePitch="360"/>
        </w:sectPr>
      </w:pPr>
      <w:r w:rsidRPr="009B4D64">
        <w:rPr>
          <w:sz w:val="24"/>
        </w:rPr>
        <w:t xml:space="preserve">The Department is responsible for certain expenditures not included in major programs discussed above. Primarily, these expenditures are for debt service and, where appropriate, reimbursements to local governments. </w:t>
      </w:r>
      <w:r w:rsidR="002D0086">
        <w:rPr>
          <w:sz w:val="24"/>
        </w:rPr>
        <w:t>Approximately</w:t>
      </w:r>
      <w:r w:rsidR="002D0086" w:rsidRPr="009B4D64">
        <w:rPr>
          <w:sz w:val="24"/>
        </w:rPr>
        <w:t xml:space="preserve"> </w:t>
      </w:r>
      <w:r w:rsidRPr="009B4D64">
        <w:rPr>
          <w:sz w:val="24"/>
        </w:rPr>
        <w:t>$</w:t>
      </w:r>
      <w:r w:rsidR="002D0086">
        <w:rPr>
          <w:sz w:val="24"/>
        </w:rPr>
        <w:t>7.5</w:t>
      </w:r>
      <w:r w:rsidRPr="009B4D64">
        <w:rPr>
          <w:sz w:val="24"/>
        </w:rPr>
        <w:t xml:space="preserve"> billion (</w:t>
      </w:r>
      <w:r>
        <w:rPr>
          <w:sz w:val="24"/>
        </w:rPr>
        <w:t>3.5</w:t>
      </w:r>
      <w:r w:rsidRPr="009B4D64">
        <w:rPr>
          <w:sz w:val="24"/>
        </w:rPr>
        <w:t>% of total revenues) is forecast for these expenditures. These funds are not available for statewide or metropolitan system plans.</w:t>
      </w:r>
    </w:p>
    <w:p w:rsidR="008933DA" w:rsidRPr="009B4D64" w:rsidRDefault="008933DA" w:rsidP="008933DA">
      <w:pPr>
        <w:rPr>
          <w:sz w:val="24"/>
        </w:rPr>
      </w:pPr>
    </w:p>
    <w:p w:rsidR="00E66990" w:rsidRPr="009B4D64" w:rsidRDefault="00E66990" w:rsidP="00E72C8C">
      <w:pPr>
        <w:tabs>
          <w:tab w:val="left" w:pos="-720"/>
          <w:tab w:val="left" w:pos="0"/>
          <w:tab w:val="left" w:pos="198"/>
          <w:tab w:val="left" w:pos="378"/>
          <w:tab w:val="left" w:pos="720"/>
          <w:tab w:val="left" w:pos="1098"/>
        </w:tabs>
        <w:jc w:val="center"/>
        <w:rPr>
          <w:b/>
          <w:bCs/>
          <w:sz w:val="32"/>
          <w:szCs w:val="32"/>
        </w:rPr>
      </w:pPr>
      <w:r w:rsidRPr="009B4D64">
        <w:rPr>
          <w:b/>
          <w:bCs/>
          <w:sz w:val="32"/>
          <w:szCs w:val="32"/>
        </w:rPr>
        <w:t xml:space="preserve">APPENDIX FOR THE </w:t>
      </w:r>
      <w:r w:rsidR="00217D61">
        <w:rPr>
          <w:b/>
          <w:bCs/>
          <w:sz w:val="32"/>
          <w:szCs w:val="32"/>
        </w:rPr>
        <w:t>CAPITAL REGION TRANSPORTATION PLANNING AGENCY</w:t>
      </w:r>
      <w:r w:rsidRPr="009B4D64">
        <w:rPr>
          <w:b/>
          <w:bCs/>
          <w:sz w:val="32"/>
          <w:szCs w:val="32"/>
        </w:rPr>
        <w:t xml:space="preserve"> LONG RANGE PLAN UPDATE</w:t>
      </w:r>
    </w:p>
    <w:p w:rsidR="00E66990" w:rsidRPr="009B4D64" w:rsidRDefault="00E66990" w:rsidP="00E72C8C">
      <w:pPr>
        <w:tabs>
          <w:tab w:val="left" w:pos="-720"/>
          <w:tab w:val="left" w:pos="0"/>
          <w:tab w:val="left" w:pos="198"/>
          <w:tab w:val="left" w:pos="378"/>
          <w:tab w:val="left" w:pos="720"/>
          <w:tab w:val="left" w:pos="1098"/>
        </w:tabs>
        <w:jc w:val="center"/>
        <w:rPr>
          <w:b/>
          <w:bCs/>
          <w:sz w:val="32"/>
          <w:szCs w:val="32"/>
        </w:rPr>
      </w:pPr>
    </w:p>
    <w:p w:rsidR="00E66990" w:rsidRPr="009B4D64" w:rsidRDefault="00E72C8C" w:rsidP="00E72C8C">
      <w:pPr>
        <w:tabs>
          <w:tab w:val="left" w:pos="-720"/>
          <w:tab w:val="left" w:pos="0"/>
          <w:tab w:val="left" w:pos="198"/>
          <w:tab w:val="left" w:pos="378"/>
          <w:tab w:val="left" w:pos="720"/>
          <w:tab w:val="left" w:pos="1098"/>
        </w:tabs>
        <w:jc w:val="center"/>
        <w:rPr>
          <w:b/>
          <w:bCs/>
          <w:sz w:val="32"/>
          <w:szCs w:val="32"/>
        </w:rPr>
      </w:pPr>
      <w:r w:rsidRPr="009B4D64">
        <w:rPr>
          <w:b/>
          <w:bCs/>
          <w:sz w:val="32"/>
          <w:szCs w:val="32"/>
        </w:rPr>
        <w:t>20</w:t>
      </w:r>
      <w:r w:rsidR="002D4747">
        <w:rPr>
          <w:b/>
          <w:bCs/>
          <w:sz w:val="32"/>
          <w:szCs w:val="32"/>
        </w:rPr>
        <w:t>40</w:t>
      </w:r>
      <w:r w:rsidR="00E66990" w:rsidRPr="009B4D64">
        <w:rPr>
          <w:b/>
          <w:bCs/>
          <w:sz w:val="32"/>
          <w:szCs w:val="32"/>
        </w:rPr>
        <w:t xml:space="preserve"> </w:t>
      </w:r>
      <w:r w:rsidR="00150776" w:rsidRPr="009B4D64">
        <w:rPr>
          <w:b/>
          <w:bCs/>
          <w:sz w:val="32"/>
          <w:szCs w:val="32"/>
        </w:rPr>
        <w:t>Forecast of State and Federal Revenues</w:t>
      </w:r>
    </w:p>
    <w:p w:rsidR="00D04F8A" w:rsidRPr="00000D03" w:rsidRDefault="00150776" w:rsidP="00E72C8C">
      <w:pPr>
        <w:jc w:val="center"/>
        <w:rPr>
          <w:sz w:val="24"/>
        </w:rPr>
      </w:pPr>
      <w:r w:rsidRPr="009B4D64">
        <w:rPr>
          <w:b/>
          <w:bCs/>
          <w:sz w:val="32"/>
          <w:szCs w:val="32"/>
        </w:rPr>
        <w:t>for Statewide and Metropolitan Plans</w:t>
      </w:r>
    </w:p>
    <w:sectPr w:rsidR="00D04F8A" w:rsidRPr="00000D03" w:rsidSect="00BC2A4C">
      <w:foot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D3" w:rsidRDefault="00D778D3">
      <w:r>
        <w:separator/>
      </w:r>
    </w:p>
  </w:endnote>
  <w:endnote w:type="continuationSeparator" w:id="0">
    <w:p w:rsidR="00D778D3" w:rsidRDefault="00D7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3" w:rsidRPr="00E824E5" w:rsidRDefault="00D778D3" w:rsidP="00F9056B">
    <w:pPr>
      <w:pStyle w:val="Footer"/>
      <w:tabs>
        <w:tab w:val="clear" w:pos="4320"/>
        <w:tab w:val="clear" w:pos="8640"/>
        <w:tab w:val="center" w:pos="4680"/>
        <w:tab w:val="right" w:pos="9180"/>
      </w:tabs>
      <w:rPr>
        <w:b/>
        <w:szCs w:val="20"/>
      </w:rPr>
    </w:pPr>
    <w:r>
      <w:rPr>
        <w:b/>
        <w:szCs w:val="20"/>
      </w:rPr>
      <w:t>Florida Department of Transportation</w:t>
    </w:r>
    <w:r w:rsidRPr="00B1781D">
      <w:rPr>
        <w:b/>
        <w:szCs w:val="20"/>
      </w:rPr>
      <w:tab/>
    </w:r>
    <w:r w:rsidRPr="00B1781D">
      <w:rPr>
        <w:b/>
        <w:szCs w:val="20"/>
      </w:rPr>
      <w:fldChar w:fldCharType="begin"/>
    </w:r>
    <w:r w:rsidRPr="00B1781D">
      <w:rPr>
        <w:b/>
        <w:szCs w:val="20"/>
      </w:rPr>
      <w:instrText xml:space="preserve"> PAGE   \* MERGEFORMAT </w:instrText>
    </w:r>
    <w:r w:rsidRPr="00B1781D">
      <w:rPr>
        <w:b/>
        <w:szCs w:val="20"/>
      </w:rPr>
      <w:fldChar w:fldCharType="separate"/>
    </w:r>
    <w:r w:rsidR="007B34C7">
      <w:rPr>
        <w:b/>
        <w:noProof/>
        <w:szCs w:val="20"/>
      </w:rPr>
      <w:t>8</w:t>
    </w:r>
    <w:r w:rsidRPr="00B1781D">
      <w:rPr>
        <w:b/>
        <w:szCs w:val="20"/>
      </w:rPr>
      <w:fldChar w:fldCharType="end"/>
    </w:r>
    <w:r>
      <w:rPr>
        <w:b/>
        <w:szCs w:val="20"/>
      </w:rPr>
      <w:t xml:space="preserve"> </w:t>
    </w:r>
    <w:r>
      <w:rPr>
        <w:b/>
        <w:szCs w:val="20"/>
      </w:rPr>
      <w:tab/>
      <w:t>Draft, 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3" w:rsidRPr="00853262" w:rsidRDefault="00D778D3" w:rsidP="0085326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D3" w:rsidRDefault="00D778D3">
      <w:r>
        <w:separator/>
      </w:r>
    </w:p>
  </w:footnote>
  <w:footnote w:type="continuationSeparator" w:id="0">
    <w:p w:rsidR="00D778D3" w:rsidRDefault="00D778D3">
      <w:r>
        <w:continuationSeparator/>
      </w:r>
    </w:p>
  </w:footnote>
  <w:footnote w:id="1">
    <w:p w:rsidR="00D778D3" w:rsidRDefault="00D778D3">
      <w:pPr>
        <w:pStyle w:val="FootnoteText"/>
      </w:pPr>
      <w:r>
        <w:rPr>
          <w:rStyle w:val="FootnoteReference"/>
        </w:rPr>
        <w:footnoteRef/>
      </w:r>
      <w:r>
        <w:t xml:space="preserve"> Moving Ahead for Progress in the 21</w:t>
      </w:r>
      <w:r w:rsidRPr="008818A1">
        <w:rPr>
          <w:vertAlign w:val="superscript"/>
        </w:rPr>
        <w:t>st</w:t>
      </w:r>
      <w:r>
        <w:t xml:space="preserve"> Century Act, Public Law 112-141, July 6, 2012.</w:t>
      </w:r>
    </w:p>
  </w:footnote>
  <w:footnote w:id="2">
    <w:p w:rsidR="00D778D3" w:rsidRDefault="00D778D3">
      <w:pPr>
        <w:pStyle w:val="FootnoteText"/>
      </w:pPr>
      <w:r>
        <w:rPr>
          <w:rStyle w:val="FootnoteReference"/>
        </w:rPr>
        <w:footnoteRef/>
      </w:r>
      <w:r>
        <w:t xml:space="preserve"> The statutory formula is based on 50% population and 50% motor fuel tax collections.</w:t>
      </w:r>
    </w:p>
  </w:footnote>
  <w:footnote w:id="3">
    <w:p w:rsidR="00D778D3" w:rsidRDefault="00D778D3" w:rsidP="00A344B2">
      <w:pPr>
        <w:pStyle w:val="FootnoteText"/>
      </w:pPr>
      <w:r w:rsidRPr="00150776">
        <w:rPr>
          <w:rStyle w:val="FootnoteReference"/>
        </w:rPr>
        <w:footnoteRef/>
      </w:r>
      <w:r>
        <w:t xml:space="preserve"> Documentary Stamp Tax proceeds for transportation declined substantially with the collapse of the housing market and have since gradually increased. The 2040 Revenue Forecast assumes that proceeds for transportation programs will gradually increase and level off at approximately $350 million each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E88"/>
    <w:multiLevelType w:val="hybridMultilevel"/>
    <w:tmpl w:val="AD0E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56483"/>
    <w:multiLevelType w:val="hybridMultilevel"/>
    <w:tmpl w:val="7CD67DB8"/>
    <w:lvl w:ilvl="0" w:tplc="DF2056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3C757F"/>
    <w:multiLevelType w:val="hybridMultilevel"/>
    <w:tmpl w:val="2C122C52"/>
    <w:lvl w:ilvl="0" w:tplc="D3608A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E5"/>
    <w:rsid w:val="00000D03"/>
    <w:rsid w:val="000017B9"/>
    <w:rsid w:val="000211E9"/>
    <w:rsid w:val="000228B9"/>
    <w:rsid w:val="00031406"/>
    <w:rsid w:val="00032F02"/>
    <w:rsid w:val="00046EEE"/>
    <w:rsid w:val="00053658"/>
    <w:rsid w:val="000B795C"/>
    <w:rsid w:val="000D444B"/>
    <w:rsid w:val="000E1191"/>
    <w:rsid w:val="000E6D8F"/>
    <w:rsid w:val="000F2224"/>
    <w:rsid w:val="00126940"/>
    <w:rsid w:val="00131DCA"/>
    <w:rsid w:val="00131E22"/>
    <w:rsid w:val="001415AB"/>
    <w:rsid w:val="00150776"/>
    <w:rsid w:val="00170340"/>
    <w:rsid w:val="00185CD5"/>
    <w:rsid w:val="001B030F"/>
    <w:rsid w:val="001C6BCC"/>
    <w:rsid w:val="001D6B10"/>
    <w:rsid w:val="001F133D"/>
    <w:rsid w:val="002138AB"/>
    <w:rsid w:val="00217D61"/>
    <w:rsid w:val="002222D8"/>
    <w:rsid w:val="00224F12"/>
    <w:rsid w:val="00234163"/>
    <w:rsid w:val="002378AC"/>
    <w:rsid w:val="00241337"/>
    <w:rsid w:val="00265631"/>
    <w:rsid w:val="0027281E"/>
    <w:rsid w:val="00286FAF"/>
    <w:rsid w:val="002A0FB5"/>
    <w:rsid w:val="002A7F9F"/>
    <w:rsid w:val="002B1FBF"/>
    <w:rsid w:val="002D0086"/>
    <w:rsid w:val="002D4747"/>
    <w:rsid w:val="002E2627"/>
    <w:rsid w:val="002F0490"/>
    <w:rsid w:val="00303B58"/>
    <w:rsid w:val="00366BCF"/>
    <w:rsid w:val="0037094B"/>
    <w:rsid w:val="00390952"/>
    <w:rsid w:val="00396664"/>
    <w:rsid w:val="003A7FEF"/>
    <w:rsid w:val="003B7AAD"/>
    <w:rsid w:val="003C59BB"/>
    <w:rsid w:val="003D64CE"/>
    <w:rsid w:val="003E2B59"/>
    <w:rsid w:val="003F4580"/>
    <w:rsid w:val="00405FD2"/>
    <w:rsid w:val="00411D08"/>
    <w:rsid w:val="00434C69"/>
    <w:rsid w:val="004431B3"/>
    <w:rsid w:val="00445197"/>
    <w:rsid w:val="00456C34"/>
    <w:rsid w:val="00457B7B"/>
    <w:rsid w:val="00464AD8"/>
    <w:rsid w:val="004732D0"/>
    <w:rsid w:val="004B5EED"/>
    <w:rsid w:val="004C21E2"/>
    <w:rsid w:val="004D665C"/>
    <w:rsid w:val="004E5C34"/>
    <w:rsid w:val="004E5CC1"/>
    <w:rsid w:val="0050289B"/>
    <w:rsid w:val="0053123F"/>
    <w:rsid w:val="005451E0"/>
    <w:rsid w:val="00563E30"/>
    <w:rsid w:val="005801E8"/>
    <w:rsid w:val="00590117"/>
    <w:rsid w:val="0059095E"/>
    <w:rsid w:val="00591EB8"/>
    <w:rsid w:val="005920B7"/>
    <w:rsid w:val="005B2754"/>
    <w:rsid w:val="005B648E"/>
    <w:rsid w:val="005B64CE"/>
    <w:rsid w:val="005C1964"/>
    <w:rsid w:val="005D5E22"/>
    <w:rsid w:val="00615FC1"/>
    <w:rsid w:val="00636515"/>
    <w:rsid w:val="0064039B"/>
    <w:rsid w:val="00643F49"/>
    <w:rsid w:val="00670305"/>
    <w:rsid w:val="006868F0"/>
    <w:rsid w:val="006966CB"/>
    <w:rsid w:val="006A16C2"/>
    <w:rsid w:val="006A53EF"/>
    <w:rsid w:val="006B757D"/>
    <w:rsid w:val="006C273B"/>
    <w:rsid w:val="006D45B1"/>
    <w:rsid w:val="006D50DC"/>
    <w:rsid w:val="006E0B97"/>
    <w:rsid w:val="006E63F5"/>
    <w:rsid w:val="00716CFD"/>
    <w:rsid w:val="007224C9"/>
    <w:rsid w:val="00726007"/>
    <w:rsid w:val="0073703C"/>
    <w:rsid w:val="007409B4"/>
    <w:rsid w:val="00746C67"/>
    <w:rsid w:val="00784883"/>
    <w:rsid w:val="007932DC"/>
    <w:rsid w:val="007B2F98"/>
    <w:rsid w:val="007B34C7"/>
    <w:rsid w:val="007D2401"/>
    <w:rsid w:val="007E479C"/>
    <w:rsid w:val="007F332E"/>
    <w:rsid w:val="007F54B5"/>
    <w:rsid w:val="007F5668"/>
    <w:rsid w:val="007F7E9B"/>
    <w:rsid w:val="0081325D"/>
    <w:rsid w:val="00815625"/>
    <w:rsid w:val="00820F05"/>
    <w:rsid w:val="008252C7"/>
    <w:rsid w:val="0084387C"/>
    <w:rsid w:val="00844D4B"/>
    <w:rsid w:val="00853262"/>
    <w:rsid w:val="00861D89"/>
    <w:rsid w:val="00864191"/>
    <w:rsid w:val="00865492"/>
    <w:rsid w:val="0087047D"/>
    <w:rsid w:val="008818A1"/>
    <w:rsid w:val="008933DA"/>
    <w:rsid w:val="00895460"/>
    <w:rsid w:val="008A4E04"/>
    <w:rsid w:val="008B1CAF"/>
    <w:rsid w:val="008B58B3"/>
    <w:rsid w:val="008C306B"/>
    <w:rsid w:val="008C3AAB"/>
    <w:rsid w:val="008C725A"/>
    <w:rsid w:val="008F2830"/>
    <w:rsid w:val="0090212F"/>
    <w:rsid w:val="00927294"/>
    <w:rsid w:val="00955C21"/>
    <w:rsid w:val="009B4D64"/>
    <w:rsid w:val="009C276C"/>
    <w:rsid w:val="009D0CDE"/>
    <w:rsid w:val="00A02253"/>
    <w:rsid w:val="00A04280"/>
    <w:rsid w:val="00A114A3"/>
    <w:rsid w:val="00A235B7"/>
    <w:rsid w:val="00A26EA6"/>
    <w:rsid w:val="00A344B2"/>
    <w:rsid w:val="00A4304A"/>
    <w:rsid w:val="00A564C5"/>
    <w:rsid w:val="00A65E7C"/>
    <w:rsid w:val="00AA0498"/>
    <w:rsid w:val="00AC6315"/>
    <w:rsid w:val="00B022DD"/>
    <w:rsid w:val="00B15701"/>
    <w:rsid w:val="00B157F7"/>
    <w:rsid w:val="00B1781D"/>
    <w:rsid w:val="00B247D5"/>
    <w:rsid w:val="00B52523"/>
    <w:rsid w:val="00B70D71"/>
    <w:rsid w:val="00B75315"/>
    <w:rsid w:val="00B86B12"/>
    <w:rsid w:val="00B87714"/>
    <w:rsid w:val="00BA05EA"/>
    <w:rsid w:val="00BC2A4C"/>
    <w:rsid w:val="00BC6A12"/>
    <w:rsid w:val="00BE4A5C"/>
    <w:rsid w:val="00C219BB"/>
    <w:rsid w:val="00C321A9"/>
    <w:rsid w:val="00C32C56"/>
    <w:rsid w:val="00C418B1"/>
    <w:rsid w:val="00C935C0"/>
    <w:rsid w:val="00CA1A9E"/>
    <w:rsid w:val="00CA50B2"/>
    <w:rsid w:val="00CA7656"/>
    <w:rsid w:val="00CC19E8"/>
    <w:rsid w:val="00CD083F"/>
    <w:rsid w:val="00CD0A05"/>
    <w:rsid w:val="00D04F8A"/>
    <w:rsid w:val="00D1113F"/>
    <w:rsid w:val="00D353C7"/>
    <w:rsid w:val="00D55302"/>
    <w:rsid w:val="00D63306"/>
    <w:rsid w:val="00D74D37"/>
    <w:rsid w:val="00D778D3"/>
    <w:rsid w:val="00D85A18"/>
    <w:rsid w:val="00D86E6F"/>
    <w:rsid w:val="00D92A1E"/>
    <w:rsid w:val="00DC3DE3"/>
    <w:rsid w:val="00DC550F"/>
    <w:rsid w:val="00DD2181"/>
    <w:rsid w:val="00DE2E3C"/>
    <w:rsid w:val="00E0495A"/>
    <w:rsid w:val="00E076FB"/>
    <w:rsid w:val="00E22253"/>
    <w:rsid w:val="00E3201E"/>
    <w:rsid w:val="00E34F7D"/>
    <w:rsid w:val="00E66990"/>
    <w:rsid w:val="00E72C8C"/>
    <w:rsid w:val="00E824E5"/>
    <w:rsid w:val="00EB2AE7"/>
    <w:rsid w:val="00ED6240"/>
    <w:rsid w:val="00F02506"/>
    <w:rsid w:val="00F045F0"/>
    <w:rsid w:val="00F2531A"/>
    <w:rsid w:val="00F8266F"/>
    <w:rsid w:val="00F87C8A"/>
    <w:rsid w:val="00F9056B"/>
    <w:rsid w:val="00FA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5"/>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24E5"/>
    <w:pPr>
      <w:jc w:val="both"/>
    </w:pPr>
    <w:rPr>
      <w:sz w:val="24"/>
    </w:rPr>
  </w:style>
  <w:style w:type="paragraph" w:styleId="Header">
    <w:name w:val="header"/>
    <w:basedOn w:val="Normal"/>
    <w:rsid w:val="00E824E5"/>
    <w:pPr>
      <w:tabs>
        <w:tab w:val="center" w:pos="4320"/>
        <w:tab w:val="right" w:pos="8640"/>
      </w:tabs>
    </w:pPr>
  </w:style>
  <w:style w:type="paragraph" w:styleId="Footer">
    <w:name w:val="footer"/>
    <w:basedOn w:val="Normal"/>
    <w:rsid w:val="00E824E5"/>
    <w:pPr>
      <w:tabs>
        <w:tab w:val="center" w:pos="4320"/>
        <w:tab w:val="right" w:pos="8640"/>
      </w:tabs>
    </w:pPr>
  </w:style>
  <w:style w:type="character" w:styleId="PageNumber">
    <w:name w:val="page number"/>
    <w:basedOn w:val="DefaultParagraphFont"/>
    <w:rsid w:val="00E824E5"/>
  </w:style>
  <w:style w:type="character" w:styleId="FootnoteReference">
    <w:name w:val="footnote reference"/>
    <w:semiHidden/>
    <w:rsid w:val="00F8266F"/>
    <w:rPr>
      <w:sz w:val="24"/>
      <w:vertAlign w:val="superscript"/>
    </w:rPr>
  </w:style>
  <w:style w:type="paragraph" w:customStyle="1" w:styleId="a">
    <w:name w:val="_"/>
    <w:basedOn w:val="Normal"/>
    <w:rsid w:val="00F2531A"/>
    <w:pPr>
      <w:ind w:left="378" w:hanging="180"/>
    </w:pPr>
  </w:style>
  <w:style w:type="paragraph" w:styleId="BalloonText">
    <w:name w:val="Balloon Text"/>
    <w:basedOn w:val="Normal"/>
    <w:semiHidden/>
    <w:rsid w:val="00895460"/>
    <w:rPr>
      <w:rFonts w:ascii="Tahoma" w:hAnsi="Tahoma" w:cs="Tahoma"/>
      <w:sz w:val="16"/>
      <w:szCs w:val="16"/>
    </w:rPr>
  </w:style>
  <w:style w:type="table" w:styleId="TableGrid">
    <w:name w:val="Table Grid"/>
    <w:basedOn w:val="TableNormal"/>
    <w:rsid w:val="00366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1415AB"/>
    <w:rPr>
      <w:szCs w:val="20"/>
    </w:rPr>
  </w:style>
  <w:style w:type="character" w:customStyle="1" w:styleId="FootnoteTextChar">
    <w:name w:val="Footnote Text Char"/>
    <w:basedOn w:val="DefaultParagraphFont"/>
    <w:link w:val="FootnoteText"/>
    <w:rsid w:val="00141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5"/>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24E5"/>
    <w:pPr>
      <w:jc w:val="both"/>
    </w:pPr>
    <w:rPr>
      <w:sz w:val="24"/>
    </w:rPr>
  </w:style>
  <w:style w:type="paragraph" w:styleId="Header">
    <w:name w:val="header"/>
    <w:basedOn w:val="Normal"/>
    <w:rsid w:val="00E824E5"/>
    <w:pPr>
      <w:tabs>
        <w:tab w:val="center" w:pos="4320"/>
        <w:tab w:val="right" w:pos="8640"/>
      </w:tabs>
    </w:pPr>
  </w:style>
  <w:style w:type="paragraph" w:styleId="Footer">
    <w:name w:val="footer"/>
    <w:basedOn w:val="Normal"/>
    <w:rsid w:val="00E824E5"/>
    <w:pPr>
      <w:tabs>
        <w:tab w:val="center" w:pos="4320"/>
        <w:tab w:val="right" w:pos="8640"/>
      </w:tabs>
    </w:pPr>
  </w:style>
  <w:style w:type="character" w:styleId="PageNumber">
    <w:name w:val="page number"/>
    <w:basedOn w:val="DefaultParagraphFont"/>
    <w:rsid w:val="00E824E5"/>
  </w:style>
  <w:style w:type="character" w:styleId="FootnoteReference">
    <w:name w:val="footnote reference"/>
    <w:semiHidden/>
    <w:rsid w:val="00F8266F"/>
    <w:rPr>
      <w:sz w:val="24"/>
      <w:vertAlign w:val="superscript"/>
    </w:rPr>
  </w:style>
  <w:style w:type="paragraph" w:customStyle="1" w:styleId="a">
    <w:name w:val="_"/>
    <w:basedOn w:val="Normal"/>
    <w:rsid w:val="00F2531A"/>
    <w:pPr>
      <w:ind w:left="378" w:hanging="180"/>
    </w:pPr>
  </w:style>
  <w:style w:type="paragraph" w:styleId="BalloonText">
    <w:name w:val="Balloon Text"/>
    <w:basedOn w:val="Normal"/>
    <w:semiHidden/>
    <w:rsid w:val="00895460"/>
    <w:rPr>
      <w:rFonts w:ascii="Tahoma" w:hAnsi="Tahoma" w:cs="Tahoma"/>
      <w:sz w:val="16"/>
      <w:szCs w:val="16"/>
    </w:rPr>
  </w:style>
  <w:style w:type="table" w:styleId="TableGrid">
    <w:name w:val="Table Grid"/>
    <w:basedOn w:val="TableNormal"/>
    <w:rsid w:val="00366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1415AB"/>
    <w:rPr>
      <w:szCs w:val="20"/>
    </w:rPr>
  </w:style>
  <w:style w:type="character" w:customStyle="1" w:styleId="FootnoteTextChar">
    <w:name w:val="Footnote Text Char"/>
    <w:basedOn w:val="DefaultParagraphFont"/>
    <w:link w:val="FootnoteText"/>
    <w:rsid w:val="0014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25F6E-DDC2-415F-84C2-F57A2CE2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APPENDIX FOR THE METROPOLITAN LONG RANGE PLAN</vt:lpstr>
    </vt:vector>
  </TitlesOfParts>
  <Company>Florida Department of Transportation</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FOR THE METROPOLITAN LONG RANGE PLAN</dc:title>
  <dc:creator>kn932rg</dc:creator>
  <cp:lastModifiedBy>Kostrzewa, Jack</cp:lastModifiedBy>
  <cp:revision>2</cp:revision>
  <cp:lastPrinted>2013-12-17T22:34:00Z</cp:lastPrinted>
  <dcterms:created xsi:type="dcterms:W3CDTF">2016-11-08T12:06:00Z</dcterms:created>
  <dcterms:modified xsi:type="dcterms:W3CDTF">2016-11-08T12:06:00Z</dcterms:modified>
</cp:coreProperties>
</file>